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9C6" w:rsidRDefault="00FD79C6">
      <w:pPr>
        <w:pStyle w:val="Tekstpodstawowy"/>
        <w:rPr>
          <w:sz w:val="20"/>
        </w:rPr>
      </w:pPr>
    </w:p>
    <w:p w:rsidR="00FD79C6" w:rsidRDefault="00FD79C6">
      <w:pPr>
        <w:pStyle w:val="Tekstpodstawowy"/>
        <w:rPr>
          <w:sz w:val="20"/>
        </w:rPr>
      </w:pPr>
    </w:p>
    <w:p w:rsidR="00FD79C6" w:rsidRDefault="00FD79C6">
      <w:pPr>
        <w:pStyle w:val="Tekstpodstawowy"/>
        <w:spacing w:before="5"/>
        <w:rPr>
          <w:sz w:val="17"/>
        </w:rPr>
      </w:pPr>
    </w:p>
    <w:p w:rsidR="00FD79C6" w:rsidRDefault="00BF73AA">
      <w:pPr>
        <w:pStyle w:val="Nagwek1"/>
        <w:spacing w:line="360" w:lineRule="auto"/>
        <w:ind w:left="1306" w:right="858"/>
      </w:pPr>
      <w:r>
        <w:t xml:space="preserve">WPŁYW XXXXXXX </w:t>
      </w:r>
      <w:proofErr w:type="spellStart"/>
      <w:r>
        <w:t>XXXXXXX</w:t>
      </w:r>
      <w:proofErr w:type="spellEnd"/>
      <w:r>
        <w:t xml:space="preserve"> – UJĘCIE XXXXXXXX PRAKTYCZNE</w:t>
      </w:r>
    </w:p>
    <w:p w:rsidR="00FD79C6" w:rsidRDefault="00FD79C6">
      <w:pPr>
        <w:pStyle w:val="Tekstpodstawowy"/>
        <w:spacing w:before="3"/>
        <w:rPr>
          <w:b/>
          <w:sz w:val="28"/>
        </w:rPr>
      </w:pPr>
    </w:p>
    <w:p w:rsidR="00FD79C6" w:rsidRDefault="00BF73AA">
      <w:pPr>
        <w:spacing w:before="89"/>
        <w:ind w:left="172"/>
        <w:rPr>
          <w:b/>
          <w:sz w:val="28"/>
        </w:rPr>
      </w:pPr>
      <w:r>
        <w:rPr>
          <w:b/>
          <w:sz w:val="28"/>
        </w:rPr>
        <w:t>Wstęp</w:t>
      </w:r>
    </w:p>
    <w:p w:rsidR="00FD79C6" w:rsidRDefault="00FD79C6">
      <w:pPr>
        <w:pStyle w:val="Tekstpodstawowy"/>
        <w:spacing w:before="7"/>
        <w:rPr>
          <w:b/>
          <w:sz w:val="37"/>
        </w:rPr>
      </w:pPr>
    </w:p>
    <w:p w:rsidR="00FD79C6" w:rsidRDefault="00BF73AA">
      <w:pPr>
        <w:pStyle w:val="Tekstpodstawowy"/>
        <w:spacing w:line="360" w:lineRule="auto"/>
        <w:ind w:left="172" w:right="302"/>
        <w:jc w:val="both"/>
      </w:pPr>
      <w:r>
        <w:t xml:space="preserve">W ostatnich </w:t>
      </w:r>
      <w:proofErr w:type="spellStart"/>
      <w:r>
        <w:t>xxxxxxxxx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xxx latach coraz większego znaczenia dla kształtowania się obrazu gospodarki </w:t>
      </w:r>
      <w:proofErr w:type="spellStart"/>
      <w:r>
        <w:t>xxxxxx</w:t>
      </w:r>
      <w:proofErr w:type="spellEnd"/>
      <w:r>
        <w:t xml:space="preserve"> nabiera działalność </w:t>
      </w:r>
      <w:proofErr w:type="spellStart"/>
      <w:r>
        <w:t>xxxxxxxxxxxx</w:t>
      </w:r>
      <w:proofErr w:type="spellEnd"/>
      <w:r>
        <w:t xml:space="preserve"> międzynarodowych</w:t>
      </w:r>
      <w:r>
        <w:rPr>
          <w:position w:val="8"/>
          <w:sz w:val="14"/>
        </w:rPr>
        <w:t>1</w:t>
      </w:r>
      <w:r>
        <w:t xml:space="preserve">. Rozszerzają one i intensyfikują swoje działania, zmierzając do wysuwa się tezy, że </w:t>
      </w:r>
      <w:proofErr w:type="spellStart"/>
      <w:r>
        <w:t>xxxxxxxxxxxxx</w:t>
      </w:r>
      <w:proofErr w:type="spellEnd"/>
      <w:r>
        <w:t xml:space="preserve"> to głównie poprzez „zdobywanie” kolejnych rynków zagranicznych. Dzięki temu coraz więcej przedsiębiorstw </w:t>
      </w:r>
      <w:proofErr w:type="spellStart"/>
      <w:r>
        <w:t>xxxxxxxxxxxxxxxxxxx</w:t>
      </w:r>
      <w:proofErr w:type="spellEnd"/>
      <w:r>
        <w:t xml:space="preserve">. Bardzo często ich działalność w tym zakresie jest znacznie bardziej złożona niż tradycyjna </w:t>
      </w:r>
      <w:proofErr w:type="spellStart"/>
      <w:r>
        <w:t>xxxxxxxxxxx</w:t>
      </w:r>
      <w:proofErr w:type="spellEnd"/>
      <w:r>
        <w:t xml:space="preserve"> wysuwa się tezy obciążające je odpowiedzialnością. Charakterystyczną cechą </w:t>
      </w:r>
      <w:proofErr w:type="spellStart"/>
      <w:r>
        <w:t>xxxxxxxxx</w:t>
      </w:r>
      <w:proofErr w:type="spellEnd"/>
      <w:r>
        <w:t xml:space="preserve"> jest wzrost zakresu i intensywności oraz </w:t>
      </w:r>
      <w:proofErr w:type="spellStart"/>
      <w:r>
        <w:t>xxxxxxxx</w:t>
      </w:r>
      <w:proofErr w:type="spellEnd"/>
      <w:r>
        <w:t xml:space="preserve"> form działalności międzynarodowej </w:t>
      </w:r>
      <w:r>
        <w:rPr>
          <w:color w:val="FF0000"/>
        </w:rPr>
        <w:t>(Zorska, 1998, s. 19)</w:t>
      </w:r>
      <w:r>
        <w:t>.</w:t>
      </w:r>
    </w:p>
    <w:p w:rsidR="00FD79C6" w:rsidRDefault="00BF73AA">
      <w:pPr>
        <w:pStyle w:val="Tekstpodstawowy"/>
        <w:spacing w:line="360" w:lineRule="auto"/>
        <w:ind w:left="172" w:right="304" w:firstLine="358"/>
        <w:jc w:val="both"/>
      </w:pPr>
      <w:r>
        <w:t xml:space="preserve">Jednym z istotnych przejawów działalności przedsiębiorstw międzynarodowych </w:t>
      </w:r>
      <w:proofErr w:type="spellStart"/>
      <w:r>
        <w:t>xxxxxxxxxxxxxx</w:t>
      </w:r>
      <w:proofErr w:type="spellEnd"/>
      <w:r>
        <w:t xml:space="preserve"> – zarówno importu, jak i eksportu. </w:t>
      </w:r>
      <w:proofErr w:type="spellStart"/>
      <w:r>
        <w:rPr>
          <w:color w:val="FF0000"/>
        </w:rPr>
        <w:t>Kabalski</w:t>
      </w:r>
      <w:proofErr w:type="spellEnd"/>
      <w:r>
        <w:rPr>
          <w:color w:val="FF0000"/>
        </w:rPr>
        <w:t xml:space="preserve"> (2001) </w:t>
      </w:r>
      <w:r>
        <w:t xml:space="preserve">ocenia, że aktywność firm wielonarodowych w handlu międzynarodowym przybiera znaczące rozmiary. Z jednej strony </w:t>
      </w:r>
      <w:proofErr w:type="spellStart"/>
      <w:r>
        <w:t>xxxxxxxxx</w:t>
      </w:r>
      <w:proofErr w:type="spellEnd"/>
      <w:r>
        <w:t xml:space="preserve"> </w:t>
      </w:r>
      <w:proofErr w:type="spellStart"/>
      <w:r>
        <w:t>xxxxxxx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wysuwa się tezy obciążające je odpowiedzialnością, z drugiej mówi się o </w:t>
      </w:r>
      <w:proofErr w:type="spellStart"/>
      <w:r>
        <w:t>xxxxxxx</w:t>
      </w:r>
      <w:proofErr w:type="spellEnd"/>
      <w:r>
        <w:t xml:space="preserve"> xxx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x pozytywnym związku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a wielkością eksportu. Dla xxx </w:t>
      </w:r>
      <w:proofErr w:type="spellStart"/>
      <w:r>
        <w:t>xxxxx</w:t>
      </w:r>
      <w:proofErr w:type="spellEnd"/>
      <w:r>
        <w:t xml:space="preserve"> pomiędzy działalnością przedsiębiorstw międzynarodowych a handlem.</w:t>
      </w:r>
    </w:p>
    <w:p w:rsidR="00FD79C6" w:rsidRDefault="00B374E1">
      <w:pPr>
        <w:pStyle w:val="Tekstpodstawowy"/>
        <w:spacing w:before="2" w:line="360" w:lineRule="auto"/>
        <w:ind w:left="172" w:right="306" w:firstLine="358"/>
        <w:jc w:val="both"/>
      </w:pPr>
      <w:r>
        <w:pict>
          <v:line id="_x0000_s1055" style="position:absolute;left:0;text-align:left;z-index:-251657216;mso-wrap-distance-left:0;mso-wrap-distance-right:0;mso-position-horizontal-relative:page" from="56.65pt,65.25pt" to="200.7pt,65.25pt" strokeweight=".21169mm">
            <w10:wrap type="topAndBottom" anchorx="page"/>
          </v:line>
        </w:pict>
      </w:r>
      <w:r w:rsidR="00BF73AA">
        <w:t>Ze względu na zawierane transakcje pomiędzy podmiotami powiązanymi, oraz ze względu na specyficzną rolę, jaką odgrywają transakcje krajowe i międzynarodowe dla każdej gospodarki, szczególnego znaczenia, nabiera kwestia tak teoretycznej, jak i</w:t>
      </w:r>
    </w:p>
    <w:p w:rsidR="00FD79C6" w:rsidRDefault="00BF73AA">
      <w:pPr>
        <w:pStyle w:val="Tekstpodstawowy"/>
        <w:spacing w:before="73" w:line="360" w:lineRule="auto"/>
        <w:ind w:left="172" w:right="303" w:firstLine="360"/>
        <w:jc w:val="both"/>
      </w:pPr>
      <w:r>
        <w:rPr>
          <w:position w:val="6"/>
          <w:sz w:val="12"/>
        </w:rPr>
        <w:t xml:space="preserve">1 </w:t>
      </w:r>
      <w:r>
        <w:t>W literaturze przedmiotu można spotkać również takie pojęcia, jak: przedsiębiorstwo wielonarodowe, korporacja międzynarodowa, korporacja/przedsiębiorstwo transnarodowe itp. Mimo różnicy znaczeń przypisywanych przez różnych autorów tym pojęciom, w niniejszym artykule terminy te są stosowane zamiennie i oznaczają przedsiębiorstwo, które prowadzi działalność co najmniej w dwóch krajach poprzez swoje filie, przedstawicielstwa lub w innej formie jako tzw. podmiot powiązany. Termin „podmioty powiązane” znajduje natomiast swoje precyzyjne wyjaśnienie w art. 11 Ustawy z dnia 15 lutego 1992 r.</w:t>
      </w:r>
    </w:p>
    <w:p w:rsidR="00FD79C6" w:rsidRDefault="00FD79C6">
      <w:pPr>
        <w:spacing w:line="360" w:lineRule="auto"/>
        <w:jc w:val="both"/>
        <w:sectPr w:rsidR="00FD79C6">
          <w:footerReference w:type="default" r:id="rId7"/>
          <w:type w:val="continuous"/>
          <w:pgSz w:w="11910" w:h="16840"/>
          <w:pgMar w:top="1580" w:right="1680" w:bottom="960" w:left="960" w:header="708" w:footer="777" w:gutter="0"/>
          <w:pgNumType w:start="1"/>
          <w:cols w:space="708"/>
        </w:sectPr>
      </w:pPr>
    </w:p>
    <w:p w:rsidR="00FD79C6" w:rsidRDefault="00BF73AA">
      <w:pPr>
        <w:pStyle w:val="Tekstpodstawowy"/>
        <w:spacing w:before="74" w:line="360" w:lineRule="auto"/>
        <w:ind w:left="172" w:right="306"/>
        <w:jc w:val="both"/>
      </w:pPr>
      <w:r>
        <w:lastRenderedPageBreak/>
        <w:t xml:space="preserve">empirycznej analizy, wymiany handlowej zachodzącej pomiędzy podmiotami mającymi wspólnego właściciela </w:t>
      </w:r>
      <w:r>
        <w:rPr>
          <w:color w:val="FF0000"/>
        </w:rPr>
        <w:t xml:space="preserve">(Jorgenson i </w:t>
      </w:r>
      <w:proofErr w:type="spellStart"/>
      <w:r>
        <w:rPr>
          <w:color w:val="FF0000"/>
        </w:rPr>
        <w:t>Griliches</w:t>
      </w:r>
      <w:proofErr w:type="spellEnd"/>
      <w:r>
        <w:rPr>
          <w:color w:val="FF0000"/>
        </w:rPr>
        <w:t>, 1972, s. 4)</w:t>
      </w:r>
      <w:r>
        <w:t>. Uwzględniając obroty korporacji z niezależnymi firmami, można stwierdzić, że łącznie około 75% handlu światowego dokonuje się z udziałem przedsiębiorstw międzynarodowych.</w:t>
      </w:r>
    </w:p>
    <w:p w:rsidR="00FD79C6" w:rsidRDefault="00B374E1">
      <w:pPr>
        <w:spacing w:before="90"/>
        <w:ind w:left="5203"/>
        <w:rPr>
          <w:sz w:val="18"/>
        </w:rPr>
      </w:pPr>
      <w:r>
        <w:pict>
          <v:group id="_x0000_s1030" style="position:absolute;left:0;text-align:left;margin-left:57.95pt;margin-top:1.3pt;width:310.5pt;height:201.95pt;z-index:-251660288;mso-position-horizontal-relative:page" coordorigin="1159,26" coordsize="6210,4039">
            <v:line id="_x0000_s1054" style="position:absolute" from="4945,31" to="4935,4060" strokecolor="#1f1a17" strokeweight=".16494mm"/>
            <v:shape id="_x0000_s1053" style="position:absolute;left:2037;top:1908;width:2037;height:686" coordorigin="2038,1908" coordsize="2037,686" path="m4075,1908r-9,l4056,1908r,24l4056,2575r-1999,l2057,1932r1999,l4056,1908r-2009,l2038,1908r,15l2038,2585r,9l2047,2594r2019,l4075,2594r,-9l4075,1923r,-15e" fillcolor="#1f1a17" stroked="f">
              <v:path arrowok="t"/>
            </v:shape>
            <v:shape id="_x0000_s1052" style="position:absolute;left:787;top:10796;width:2636;height:2916" coordorigin="787,10796" coordsize="2636,2916" o:spt="100" adj="0,,0" path="m3238,1766r-89,109l2676,1416r-48,43l2572,1208r260,48l2775,1308r463,458xm1910,1284r104,-118l2482,1625r52,-43l2586,1832r-260,-47l2383,1733,1910,1284xm3550,2656r147,l3706,3067r71,l3635,3247,3484,3067r76,5l3550,2656xm2860,2637r104,89l2515,3204r43,48l2307,3313r43,-260l2402,3105r458,-468xm3054,4027r1451,l4505,3370r-1451,l3054,4027xe" filled="f" strokecolor="#1f1a17" strokeweight=".16464mm">
              <v:stroke joinstyle="round"/>
              <v:formulas/>
              <v:path arrowok="t" o:connecttype="segments"/>
            </v:shape>
            <v:shape id="_x0000_s1051" style="position:absolute;left:4112;top:2579;width:1428;height:861" coordorigin="4113,2580" coordsize="1428,861" o:spt="100" adj="0,,0" path="m4193,2580r-80,137l5167,3303r-48,67l5540,3441,5307,3176r-74,l4193,2580xm5257,3119r-24,57l5307,3176r-50,-57xe" stroked="f">
              <v:stroke joinstyle="round"/>
              <v:formulas/>
              <v:path arrowok="t" o:connecttype="segments"/>
            </v:shape>
            <v:shape id="_x0000_s1050" style="position:absolute;left:4120;top:2587;width:1428;height:861" coordorigin="4121,2588" coordsize="1428,861" path="m5241,3183l4201,2588r-80,137l5174,3311r-47,66l5548,3448,5264,3127r-23,56xe" filled="f" strokecolor="#1f1a17" strokeweight=".08658mm">
              <v:path arrowok="t"/>
            </v:shape>
            <v:shape id="_x0000_s1049" style="position:absolute;left:4117;top:1090;width:1456;height:790" coordorigin="4117,1090" coordsize="1456,790" o:spt="100" adj="0,,0" path="m4415,1577r-298,303l4543,1832r-43,-70l4750,1634r-307,l4415,1577xm5507,1090l4443,1634r307,l5573,1213r-66,-123xe" stroked="f">
              <v:stroke joinstyle="round"/>
              <v:formulas/>
              <v:path arrowok="t" o:connecttype="segments"/>
            </v:shape>
            <v:shape id="_x0000_s1048" style="position:absolute;left:4125;top:1097;width:1456;height:790" coordorigin="4125,1098" coordsize="1456,790" path="m4451,1642l5515,1098r66,123l4508,1770r43,70l4125,1888r298,-303l4451,1642xe" filled="f" strokecolor="#1f1a17" strokeweight=".08658mm">
              <v:path arrowok="t"/>
            </v:shape>
            <v:shape id="_x0000_s1047" style="position:absolute;left:4183;top:2224;width:1522;height:294" coordorigin="4184,2225" coordsize="1522,294" path="m5332,2225r-5,71l4184,2296r4,151l5337,2447r,71l5705,2367r-186,-71l5327,2296r179,-5l5332,2225xe" stroked="f">
              <v:path arrowok="t"/>
            </v:shape>
            <v:shape id="_x0000_s1046" style="position:absolute;left:4191;top:2232;width:1522;height:294" coordorigin="4192,2233" coordsize="1522,294" path="m4192,2299r1143,5l5340,2233r373,142l5345,2526r,-71l4196,2455r-4,-156xe" filled="f" strokecolor="#1f1a17" strokeweight=".08653mm">
              <v:path arrowok="t"/>
            </v:shape>
            <v:shape id="_x0000_s1045" style="position:absolute;left:4145;top:1951;width:1385;height:293" coordorigin="4146,1951" coordsize="1385,293" o:spt="100" adj="0,,0" path="m4481,1951r-335,151l4491,2244r,-71l5531,2173r,-151l4486,2022r-5,-71xm5531,2173r-1040,l5531,2178r,-5xe" stroked="f">
              <v:stroke joinstyle="round"/>
              <v:formulas/>
              <v:path arrowok="t" o:connecttype="segments"/>
            </v:shape>
            <v:shape id="_x0000_s1044" style="position:absolute;left:4153;top:1958;width:1385;height:293" coordorigin="4154,1959" coordsize="1385,293" path="m5539,2186r-1040,-5l4499,2252,4154,2110r335,-151l4494,2029r1045,l5539,2186xe" filled="f" strokecolor="#1f1a17" strokeweight=".08653mm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left:2912;top:87;width:464;height:200" filled="f" stroked="f">
              <v:textbox inset="0,0,0,0">
                <w:txbxContent>
                  <w:p w:rsidR="00FD79C6" w:rsidRDefault="00BF73AA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color w:val="1F1A17"/>
                        <w:sz w:val="18"/>
                      </w:rPr>
                      <w:t>KRAJ</w:t>
                    </w:r>
                  </w:p>
                </w:txbxContent>
              </v:textbox>
            </v:shape>
            <v:shape id="_x0000_s1042" type="#_x0000_t202" style="position:absolute;left:2642;top:1230;width:99;height:173" filled="f" stroked="f">
              <v:textbox inset="0,0,0,0">
                <w:txbxContent>
                  <w:p w:rsidR="00FD79C6" w:rsidRDefault="00BF73AA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color w:val="1F1A17"/>
                        <w:w w:val="104"/>
                        <w:sz w:val="15"/>
                      </w:rPr>
                      <w:t>8</w:t>
                    </w:r>
                  </w:p>
                </w:txbxContent>
              </v:textbox>
            </v:shape>
            <v:shape id="_x0000_s1041" type="#_x0000_t202" style="position:absolute;left:2066;top:1646;width:2000;height:916" filled="f" stroked="f">
              <v:textbox inset="0,0,0,0">
                <w:txbxContent>
                  <w:p w:rsidR="00FD79C6" w:rsidRDefault="00BF73AA">
                    <w:pPr>
                      <w:spacing w:line="171" w:lineRule="exact"/>
                      <w:ind w:left="392"/>
                      <w:rPr>
                        <w:sz w:val="15"/>
                      </w:rPr>
                    </w:pPr>
                    <w:r>
                      <w:rPr>
                        <w:color w:val="1F1A17"/>
                        <w:w w:val="104"/>
                        <w:sz w:val="15"/>
                      </w:rPr>
                      <w:t>7</w:t>
                    </w:r>
                  </w:p>
                  <w:p w:rsidR="00FD79C6" w:rsidRDefault="00FD79C6">
                    <w:pPr>
                      <w:spacing w:before="1"/>
                      <w:rPr>
                        <w:sz w:val="13"/>
                      </w:rPr>
                    </w:pPr>
                  </w:p>
                  <w:p w:rsidR="00FD79C6" w:rsidRDefault="00BF73AA">
                    <w:pPr>
                      <w:spacing w:line="230" w:lineRule="auto"/>
                      <w:ind w:right="18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1F1A17"/>
                        <w:sz w:val="18"/>
                      </w:rPr>
                      <w:t>filia</w:t>
                    </w:r>
                    <w:r>
                      <w:rPr>
                        <w:b/>
                        <w:color w:val="1F1A17"/>
                        <w:spacing w:val="-20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1F1A17"/>
                        <w:sz w:val="18"/>
                      </w:rPr>
                      <w:t>„X”</w:t>
                    </w:r>
                    <w:r>
                      <w:rPr>
                        <w:b/>
                        <w:color w:val="1F1A17"/>
                        <w:spacing w:val="-19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1F1A17"/>
                        <w:sz w:val="18"/>
                      </w:rPr>
                      <w:t xml:space="preserve">przedsiębiorstwa </w:t>
                    </w:r>
                    <w:r>
                      <w:rPr>
                        <w:b/>
                        <w:color w:val="1F1A17"/>
                        <w:spacing w:val="-3"/>
                        <w:sz w:val="18"/>
                      </w:rPr>
                      <w:t>międzynarodowego</w:t>
                    </w:r>
                    <w:r>
                      <w:rPr>
                        <w:b/>
                        <w:color w:val="1F1A17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1F1A17"/>
                        <w:sz w:val="18"/>
                      </w:rPr>
                      <w:t>A</w:t>
                    </w:r>
                  </w:p>
                  <w:p w:rsidR="00FD79C6" w:rsidRDefault="00BF73AA">
                    <w:pPr>
                      <w:spacing w:line="195" w:lineRule="exact"/>
                      <w:ind w:right="12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1F1A17"/>
                        <w:sz w:val="18"/>
                      </w:rPr>
                      <w:t>w kraju</w:t>
                    </w:r>
                  </w:p>
                </w:txbxContent>
              </v:textbox>
            </v:shape>
            <v:shape id="_x0000_s1040" type="#_x0000_t202" style="position:absolute;left:4344;top:1679;width:113;height:500" filled="f" stroked="f">
              <v:textbox inset="0,0,0,0">
                <w:txbxContent>
                  <w:p w:rsidR="00FD79C6" w:rsidRDefault="00BF73AA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color w:val="1F1A17"/>
                        <w:w w:val="104"/>
                        <w:sz w:val="15"/>
                      </w:rPr>
                      <w:t>1</w:t>
                    </w:r>
                  </w:p>
                  <w:p w:rsidR="00FD79C6" w:rsidRDefault="00FD79C6">
                    <w:pPr>
                      <w:spacing w:before="4"/>
                      <w:rPr>
                        <w:sz w:val="13"/>
                      </w:rPr>
                    </w:pPr>
                  </w:p>
                  <w:p w:rsidR="00FD79C6" w:rsidRDefault="00BF73AA">
                    <w:pPr>
                      <w:ind w:left="14"/>
                      <w:rPr>
                        <w:sz w:val="15"/>
                      </w:rPr>
                    </w:pPr>
                    <w:r>
                      <w:rPr>
                        <w:color w:val="1F1A17"/>
                        <w:w w:val="104"/>
                        <w:sz w:val="15"/>
                      </w:rPr>
                      <w:t>2</w:t>
                    </w:r>
                  </w:p>
                </w:txbxContent>
              </v:textbox>
            </v:shape>
            <v:shape id="_x0000_s1039" type="#_x0000_t202" style="position:absolute;left:5379;top:2284;width:99;height:173" filled="f" stroked="f">
              <v:textbox inset="0,0,0,0">
                <w:txbxContent>
                  <w:p w:rsidR="00FD79C6" w:rsidRDefault="00BF73AA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color w:val="1F1A17"/>
                        <w:w w:val="104"/>
                        <w:sz w:val="15"/>
                      </w:rPr>
                      <w:t>3</w:t>
                    </w:r>
                  </w:p>
                </w:txbxContent>
              </v:textbox>
            </v:shape>
            <v:shape id="_x0000_s1038" type="#_x0000_t202" style="position:absolute;left:2364;top:3112;width:99;height:173" filled="f" stroked="f">
              <v:textbox inset="0,0,0,0">
                <w:txbxContent>
                  <w:p w:rsidR="00FD79C6" w:rsidRDefault="00BF73AA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color w:val="1F1A17"/>
                        <w:w w:val="104"/>
                        <w:sz w:val="15"/>
                      </w:rPr>
                      <w:t>5</w:t>
                    </w:r>
                  </w:p>
                </w:txbxContent>
              </v:textbox>
            </v:shape>
            <v:shape id="_x0000_s1037" type="#_x0000_t202" style="position:absolute;left:3602;top:3036;width:99;height:173" filled="f" stroked="f">
              <v:textbox inset="0,0,0,0">
                <w:txbxContent>
                  <w:p w:rsidR="00FD79C6" w:rsidRDefault="00BF73AA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color w:val="1F1A17"/>
                        <w:w w:val="104"/>
                        <w:sz w:val="15"/>
                      </w:rPr>
                      <w:t>6</w:t>
                    </w:r>
                  </w:p>
                </w:txbxContent>
              </v:textbox>
            </v:shape>
            <v:shape id="_x0000_s1036" type="#_x0000_t202" style="position:absolute;left:5251;top:3207;width:99;height:173" filled="f" stroked="f">
              <v:textbox inset="0,0,0,0">
                <w:txbxContent>
                  <w:p w:rsidR="00FD79C6" w:rsidRDefault="00BF73AA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color w:val="1F1A17"/>
                        <w:w w:val="104"/>
                        <w:sz w:val="15"/>
                      </w:rPr>
                      <w:t>4</w:t>
                    </w:r>
                  </w:p>
                </w:txbxContent>
              </v:textbox>
            </v:shape>
            <v:shape id="_x0000_s1035" type="#_x0000_t202" style="position:absolute;left:3096;top:3393;width:1386;height:592" filled="f" stroked="f">
              <v:textbox inset="0,0,0,0">
                <w:txbxContent>
                  <w:p w:rsidR="00FD79C6" w:rsidRDefault="00BF73AA">
                    <w:pPr>
                      <w:spacing w:line="228" w:lineRule="auto"/>
                      <w:ind w:right="18"/>
                      <w:jc w:val="center"/>
                      <w:rPr>
                        <w:sz w:val="18"/>
                      </w:rPr>
                    </w:pPr>
                    <w:r>
                      <w:rPr>
                        <w:color w:val="1F1A17"/>
                        <w:sz w:val="18"/>
                      </w:rPr>
                      <w:t xml:space="preserve">niezależne </w:t>
                    </w:r>
                    <w:r>
                      <w:rPr>
                        <w:color w:val="1F1A17"/>
                        <w:spacing w:val="-4"/>
                        <w:sz w:val="18"/>
                      </w:rPr>
                      <w:t xml:space="preserve">krajowe </w:t>
                    </w:r>
                    <w:r>
                      <w:rPr>
                        <w:color w:val="1F1A17"/>
                        <w:sz w:val="18"/>
                      </w:rPr>
                      <w:t>przedsiębiorstwo (odbiorca)</w:t>
                    </w:r>
                  </w:p>
                </w:txbxContent>
              </v:textbox>
            </v:shape>
            <v:shape id="_x0000_s1034" type="#_x0000_t202" style="position:absolute;left:5667;top:3383;width:1697;height:643" filled="f" strokecolor="#1f1a17" strokeweight=".16444mm">
              <v:textbox inset="0,0,0,0">
                <w:txbxContent>
                  <w:p w:rsidR="00FD79C6" w:rsidRDefault="00BF73AA">
                    <w:pPr>
                      <w:spacing w:before="5" w:line="228" w:lineRule="auto"/>
                      <w:ind w:left="6" w:right="5"/>
                      <w:jc w:val="center"/>
                      <w:rPr>
                        <w:sz w:val="18"/>
                      </w:rPr>
                    </w:pPr>
                    <w:r>
                      <w:rPr>
                        <w:color w:val="1F1A17"/>
                        <w:sz w:val="18"/>
                      </w:rPr>
                      <w:t>niezależne zagraniczne przedsiębiorstwo (odbiorca)</w:t>
                    </w:r>
                  </w:p>
                </w:txbxContent>
              </v:textbox>
            </v:shape>
            <v:shape id="_x0000_s1033" type="#_x0000_t202" style="position:absolute;left:1253;top:3360;width:1522;height:667" filled="f" strokecolor="#1f1a17" strokeweight=".16444mm">
              <v:textbox inset="0,0,0,0">
                <w:txbxContent>
                  <w:p w:rsidR="00FD79C6" w:rsidRDefault="00BF73AA">
                    <w:pPr>
                      <w:spacing w:before="54" w:line="206" w:lineRule="auto"/>
                      <w:ind w:left="236" w:right="54" w:hanging="171"/>
                      <w:jc w:val="both"/>
                      <w:rPr>
                        <w:sz w:val="18"/>
                      </w:rPr>
                    </w:pPr>
                    <w:r>
                      <w:rPr>
                        <w:color w:val="1F1A17"/>
                        <w:sz w:val="18"/>
                      </w:rPr>
                      <w:t>niezależny</w:t>
                    </w:r>
                    <w:r>
                      <w:rPr>
                        <w:color w:val="1F1A17"/>
                        <w:spacing w:val="-20"/>
                        <w:sz w:val="18"/>
                      </w:rPr>
                      <w:t xml:space="preserve"> </w:t>
                    </w:r>
                    <w:r>
                      <w:rPr>
                        <w:color w:val="1F1A17"/>
                        <w:sz w:val="18"/>
                      </w:rPr>
                      <w:t xml:space="preserve">krajowy przedstawiciel </w:t>
                    </w:r>
                    <w:r>
                      <w:rPr>
                        <w:position w:val="4"/>
                        <w:sz w:val="18"/>
                      </w:rPr>
                      <w:t xml:space="preserve">8 </w:t>
                    </w:r>
                    <w:r>
                      <w:rPr>
                        <w:color w:val="1F1A17"/>
                        <w:sz w:val="18"/>
                      </w:rPr>
                      <w:t>(pełnomocnik)</w:t>
                    </w:r>
                  </w:p>
                </w:txbxContent>
              </v:textbox>
            </v:shape>
            <v:shape id="_x0000_s1032" type="#_x0000_t202" style="position:absolute;left:5535;top:461;width:1735;height:653" filled="f" strokecolor="#1f1a17" strokeweight=".16444mm">
              <v:textbox inset="0,0,0,0">
                <w:txbxContent>
                  <w:p w:rsidR="00FD79C6" w:rsidRDefault="00BF73AA">
                    <w:pPr>
                      <w:spacing w:before="29" w:line="228" w:lineRule="auto"/>
                      <w:ind w:left="126" w:right="124"/>
                      <w:jc w:val="center"/>
                      <w:rPr>
                        <w:sz w:val="18"/>
                      </w:rPr>
                    </w:pPr>
                    <w:r>
                      <w:rPr>
                        <w:color w:val="1F1A17"/>
                        <w:sz w:val="18"/>
                      </w:rPr>
                      <w:t>zależne zagraniczne przedsiębiorstwo (odbiorca)</w:t>
                    </w:r>
                  </w:p>
                </w:txbxContent>
              </v:textbox>
            </v:shape>
            <v:shape id="_x0000_s1031" type="#_x0000_t202" style="position:absolute;left:1163;top:447;width:1971;height:672" filled="f" strokecolor="#1f1a17" strokeweight=".16442mm">
              <v:textbox inset="0,0,0,0">
                <w:txbxContent>
                  <w:p w:rsidR="00FD79C6" w:rsidRDefault="00BF73AA">
                    <w:pPr>
                      <w:spacing w:before="27" w:line="230" w:lineRule="auto"/>
                      <w:ind w:left="112" w:right="97"/>
                      <w:jc w:val="center"/>
                      <w:rPr>
                        <w:sz w:val="18"/>
                      </w:rPr>
                    </w:pPr>
                    <w:r>
                      <w:rPr>
                        <w:color w:val="1F1A17"/>
                        <w:sz w:val="18"/>
                      </w:rPr>
                      <w:t>filia Y przedsiębiorstwa europejskiego A</w:t>
                    </w:r>
                  </w:p>
                  <w:p w:rsidR="00FD79C6" w:rsidRDefault="00BF73AA">
                    <w:pPr>
                      <w:spacing w:line="196" w:lineRule="exact"/>
                      <w:ind w:left="111" w:right="97"/>
                      <w:jc w:val="center"/>
                      <w:rPr>
                        <w:sz w:val="18"/>
                      </w:rPr>
                    </w:pPr>
                    <w:r>
                      <w:rPr>
                        <w:color w:val="1F1A17"/>
                        <w:sz w:val="18"/>
                      </w:rPr>
                      <w:t>w kraju</w:t>
                    </w:r>
                  </w:p>
                </w:txbxContent>
              </v:textbox>
            </v:shape>
            <w10:wrap anchorx="page"/>
          </v:group>
        </w:pict>
      </w:r>
      <w:r w:rsidR="00BF73AA">
        <w:rPr>
          <w:color w:val="1F1A17"/>
          <w:sz w:val="18"/>
        </w:rPr>
        <w:t>ZAGRANICA</w:t>
      </w:r>
    </w:p>
    <w:p w:rsidR="00FD79C6" w:rsidRDefault="00FD79C6">
      <w:pPr>
        <w:pStyle w:val="Tekstpodstawowy"/>
        <w:rPr>
          <w:sz w:val="20"/>
        </w:rPr>
      </w:pPr>
    </w:p>
    <w:p w:rsidR="00FD79C6" w:rsidRDefault="00FD79C6">
      <w:pPr>
        <w:pStyle w:val="Tekstpodstawowy"/>
        <w:rPr>
          <w:sz w:val="20"/>
        </w:rPr>
      </w:pPr>
    </w:p>
    <w:p w:rsidR="00FD79C6" w:rsidRDefault="00FD79C6">
      <w:pPr>
        <w:pStyle w:val="Tekstpodstawowy"/>
        <w:rPr>
          <w:sz w:val="20"/>
        </w:rPr>
      </w:pPr>
    </w:p>
    <w:p w:rsidR="00FD79C6" w:rsidRDefault="00FD79C6">
      <w:pPr>
        <w:pStyle w:val="Tekstpodstawowy"/>
        <w:rPr>
          <w:sz w:val="20"/>
        </w:rPr>
      </w:pPr>
    </w:p>
    <w:p w:rsidR="00FD79C6" w:rsidRDefault="00FD79C6">
      <w:pPr>
        <w:pStyle w:val="Tekstpodstawowy"/>
        <w:spacing w:before="5"/>
        <w:rPr>
          <w:sz w:val="23"/>
        </w:rPr>
      </w:pPr>
    </w:p>
    <w:tbl>
      <w:tblPr>
        <w:tblStyle w:val="TableNormal"/>
        <w:tblW w:w="0" w:type="auto"/>
        <w:tblInd w:w="4724" w:type="dxa"/>
        <w:tblBorders>
          <w:top w:val="single" w:sz="4" w:space="0" w:color="1F1A17"/>
          <w:left w:val="single" w:sz="4" w:space="0" w:color="1F1A17"/>
          <w:bottom w:val="single" w:sz="4" w:space="0" w:color="1F1A17"/>
          <w:right w:val="single" w:sz="4" w:space="0" w:color="1F1A17"/>
          <w:insideH w:val="single" w:sz="4" w:space="0" w:color="1F1A17"/>
          <w:insideV w:val="single" w:sz="4" w:space="0" w:color="1F1A17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88"/>
        <w:gridCol w:w="1385"/>
        <w:gridCol w:w="349"/>
        <w:gridCol w:w="255"/>
      </w:tblGrid>
      <w:tr w:rsidR="00FD79C6">
        <w:trPr>
          <w:trHeight w:val="420"/>
        </w:trPr>
        <w:tc>
          <w:tcPr>
            <w:tcW w:w="1909" w:type="dxa"/>
            <w:gridSpan w:val="3"/>
            <w:tcBorders>
              <w:bottom w:val="single" w:sz="8" w:space="0" w:color="1F1A17"/>
            </w:tcBorders>
          </w:tcPr>
          <w:p w:rsidR="00FD79C6" w:rsidRDefault="00BF73AA">
            <w:pPr>
              <w:pStyle w:val="TableParagraph"/>
              <w:spacing w:before="12" w:line="198" w:lineRule="exact"/>
              <w:ind w:left="174" w:right="110" w:hanging="43"/>
              <w:jc w:val="left"/>
              <w:rPr>
                <w:sz w:val="18"/>
              </w:rPr>
            </w:pPr>
            <w:r>
              <w:rPr>
                <w:color w:val="1F1A17"/>
                <w:sz w:val="18"/>
              </w:rPr>
              <w:t>Zysk przedsiębiorstwa międzynarodowego A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  <w:right w:val="nil"/>
            </w:tcBorders>
          </w:tcPr>
          <w:p w:rsidR="00FD79C6" w:rsidRDefault="00FD79C6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  <w:tr w:rsidR="00FD79C6">
        <w:trPr>
          <w:trHeight w:val="429"/>
        </w:trPr>
        <w:tc>
          <w:tcPr>
            <w:tcW w:w="236" w:type="dxa"/>
            <w:tcBorders>
              <w:left w:val="nil"/>
              <w:bottom w:val="nil"/>
            </w:tcBorders>
          </w:tcPr>
          <w:p w:rsidR="00FD79C6" w:rsidRDefault="00FD79C6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022" w:type="dxa"/>
            <w:gridSpan w:val="3"/>
            <w:tcBorders>
              <w:top w:val="single" w:sz="8" w:space="0" w:color="1F1A17"/>
            </w:tcBorders>
          </w:tcPr>
          <w:p w:rsidR="00FD79C6" w:rsidRDefault="00BF73AA">
            <w:pPr>
              <w:pStyle w:val="TableParagraph"/>
              <w:spacing w:before="33" w:line="194" w:lineRule="exact"/>
              <w:ind w:left="240" w:right="-7" w:hanging="171"/>
              <w:jc w:val="left"/>
              <w:rPr>
                <w:sz w:val="18"/>
              </w:rPr>
            </w:pPr>
            <w:r>
              <w:rPr>
                <w:color w:val="1F1A17"/>
                <w:sz w:val="18"/>
              </w:rPr>
              <w:t>filia „W” przedsiębiorstwa międzynarodowego A</w:t>
            </w:r>
          </w:p>
        </w:tc>
        <w:tc>
          <w:tcPr>
            <w:tcW w:w="255" w:type="dxa"/>
            <w:tcBorders>
              <w:top w:val="nil"/>
              <w:right w:val="nil"/>
            </w:tcBorders>
          </w:tcPr>
          <w:p w:rsidR="00FD79C6" w:rsidRDefault="00FD79C6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  <w:tr w:rsidR="00FD79C6">
        <w:trPr>
          <w:trHeight w:val="438"/>
        </w:trPr>
        <w:tc>
          <w:tcPr>
            <w:tcW w:w="524" w:type="dxa"/>
            <w:gridSpan w:val="2"/>
            <w:tcBorders>
              <w:top w:val="nil"/>
              <w:left w:val="nil"/>
              <w:bottom w:val="nil"/>
            </w:tcBorders>
          </w:tcPr>
          <w:p w:rsidR="00FD79C6" w:rsidRDefault="00FD79C6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989" w:type="dxa"/>
            <w:gridSpan w:val="3"/>
          </w:tcPr>
          <w:p w:rsidR="00FD79C6" w:rsidRDefault="00BF73AA">
            <w:pPr>
              <w:pStyle w:val="TableParagraph"/>
              <w:spacing w:before="13" w:line="230" w:lineRule="auto"/>
              <w:ind w:left="227" w:right="-6" w:hanging="147"/>
              <w:jc w:val="left"/>
              <w:rPr>
                <w:sz w:val="18"/>
              </w:rPr>
            </w:pPr>
            <w:r>
              <w:rPr>
                <w:color w:val="1F1A17"/>
                <w:sz w:val="18"/>
              </w:rPr>
              <w:t>dyrekcja przedsiębiorstwa międzynarodowego A</w:t>
            </w:r>
          </w:p>
        </w:tc>
      </w:tr>
    </w:tbl>
    <w:p w:rsidR="00FD79C6" w:rsidRDefault="00FD79C6">
      <w:pPr>
        <w:pStyle w:val="Tekstpodstawowy"/>
        <w:rPr>
          <w:sz w:val="20"/>
        </w:rPr>
      </w:pPr>
    </w:p>
    <w:p w:rsidR="00FD79C6" w:rsidRDefault="00FD79C6">
      <w:pPr>
        <w:pStyle w:val="Tekstpodstawowy"/>
        <w:rPr>
          <w:sz w:val="20"/>
        </w:rPr>
      </w:pPr>
    </w:p>
    <w:p w:rsidR="00FD79C6" w:rsidRDefault="00FD79C6">
      <w:pPr>
        <w:pStyle w:val="Tekstpodstawowy"/>
        <w:rPr>
          <w:sz w:val="20"/>
        </w:rPr>
      </w:pPr>
    </w:p>
    <w:p w:rsidR="00FD79C6" w:rsidRDefault="00FD79C6">
      <w:pPr>
        <w:pStyle w:val="Tekstpodstawowy"/>
        <w:rPr>
          <w:sz w:val="20"/>
        </w:rPr>
      </w:pPr>
    </w:p>
    <w:p w:rsidR="00FD79C6" w:rsidRDefault="00FD79C6">
      <w:pPr>
        <w:pStyle w:val="Tekstpodstawowy"/>
        <w:spacing w:before="4"/>
        <w:rPr>
          <w:sz w:val="28"/>
        </w:rPr>
      </w:pPr>
    </w:p>
    <w:p w:rsidR="00FD79C6" w:rsidRDefault="00BF73AA">
      <w:pPr>
        <w:pStyle w:val="Akapitzlist"/>
        <w:numPr>
          <w:ilvl w:val="0"/>
          <w:numId w:val="2"/>
        </w:numPr>
        <w:tabs>
          <w:tab w:val="left" w:pos="325"/>
        </w:tabs>
        <w:spacing w:before="90"/>
        <w:rPr>
          <w:sz w:val="20"/>
        </w:rPr>
      </w:pPr>
      <w:r>
        <w:rPr>
          <w:sz w:val="20"/>
        </w:rPr>
        <w:t>– import towarów/usług od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xxxxxxx</w:t>
      </w:r>
      <w:proofErr w:type="spellEnd"/>
    </w:p>
    <w:p w:rsidR="00FD79C6" w:rsidRDefault="00BF73AA">
      <w:pPr>
        <w:pStyle w:val="Akapitzlist"/>
        <w:numPr>
          <w:ilvl w:val="0"/>
          <w:numId w:val="2"/>
        </w:numPr>
        <w:tabs>
          <w:tab w:val="left" w:pos="325"/>
        </w:tabs>
        <w:spacing w:before="1"/>
        <w:ind w:left="172" w:right="5127" w:firstLine="0"/>
        <w:rPr>
          <w:sz w:val="20"/>
        </w:rPr>
      </w:pPr>
      <w:r>
        <w:rPr>
          <w:sz w:val="20"/>
        </w:rPr>
        <w:t xml:space="preserve">– import </w:t>
      </w:r>
      <w:proofErr w:type="spellStart"/>
      <w:r>
        <w:rPr>
          <w:sz w:val="20"/>
        </w:rPr>
        <w:t>xxxxxxx</w:t>
      </w:r>
      <w:proofErr w:type="spellEnd"/>
      <w:r>
        <w:rPr>
          <w:sz w:val="20"/>
        </w:rPr>
        <w:t>/usług wewnątrzkorporacyjny 3 – eksport</w:t>
      </w:r>
      <w:r>
        <w:rPr>
          <w:spacing w:val="1"/>
          <w:sz w:val="20"/>
        </w:rPr>
        <w:t xml:space="preserve"> </w:t>
      </w:r>
      <w:r>
        <w:rPr>
          <w:sz w:val="20"/>
        </w:rPr>
        <w:t>korporacyjny</w:t>
      </w:r>
    </w:p>
    <w:p w:rsidR="00FD79C6" w:rsidRDefault="00BF73AA">
      <w:pPr>
        <w:ind w:left="172" w:right="4860"/>
        <w:jc w:val="both"/>
        <w:rPr>
          <w:sz w:val="20"/>
        </w:rPr>
      </w:pPr>
      <w:r>
        <w:rPr>
          <w:sz w:val="20"/>
        </w:rPr>
        <w:t xml:space="preserve">4 – eksport towarów/usług do niezależnego odbiorcy 5 – sprzedaż towarów/usług do </w:t>
      </w:r>
      <w:proofErr w:type="spellStart"/>
      <w:r>
        <w:rPr>
          <w:sz w:val="20"/>
        </w:rPr>
        <w:t>xxxxxxxx</w:t>
      </w:r>
      <w:proofErr w:type="spellEnd"/>
      <w:r>
        <w:rPr>
          <w:sz w:val="20"/>
        </w:rPr>
        <w:t xml:space="preserve"> krajowego 6 – zakup towarów od dostawcy krajowego</w:t>
      </w:r>
    </w:p>
    <w:p w:rsidR="00FD79C6" w:rsidRDefault="00BF73AA">
      <w:pPr>
        <w:pStyle w:val="Akapitzlist"/>
        <w:numPr>
          <w:ilvl w:val="0"/>
          <w:numId w:val="1"/>
        </w:numPr>
        <w:tabs>
          <w:tab w:val="left" w:pos="325"/>
        </w:tabs>
        <w:jc w:val="both"/>
        <w:rPr>
          <w:sz w:val="20"/>
        </w:rPr>
      </w:pPr>
      <w:r>
        <w:rPr>
          <w:sz w:val="20"/>
        </w:rPr>
        <w:t xml:space="preserve">– krajowy </w:t>
      </w:r>
      <w:proofErr w:type="spellStart"/>
      <w:r>
        <w:rPr>
          <w:sz w:val="20"/>
        </w:rPr>
        <w:t>xxxxx</w:t>
      </w:r>
      <w:proofErr w:type="spellEnd"/>
      <w:r>
        <w:rPr>
          <w:sz w:val="20"/>
        </w:rPr>
        <w:t xml:space="preserve"> towarów/usług</w:t>
      </w:r>
    </w:p>
    <w:p w:rsidR="00FD79C6" w:rsidRDefault="00BF73AA">
      <w:pPr>
        <w:pStyle w:val="Akapitzlist"/>
        <w:numPr>
          <w:ilvl w:val="0"/>
          <w:numId w:val="1"/>
        </w:numPr>
        <w:tabs>
          <w:tab w:val="left" w:pos="325"/>
        </w:tabs>
        <w:jc w:val="both"/>
        <w:rPr>
          <w:sz w:val="20"/>
        </w:rPr>
      </w:pPr>
      <w:r>
        <w:rPr>
          <w:sz w:val="20"/>
        </w:rPr>
        <w:t xml:space="preserve">– krajowa korporacyjna </w:t>
      </w:r>
      <w:proofErr w:type="spellStart"/>
      <w:r>
        <w:rPr>
          <w:sz w:val="20"/>
        </w:rPr>
        <w:t>xxxxx</w:t>
      </w:r>
      <w:proofErr w:type="spellEnd"/>
      <w:r>
        <w:rPr>
          <w:spacing w:val="4"/>
          <w:sz w:val="20"/>
        </w:rPr>
        <w:t xml:space="preserve"> </w:t>
      </w:r>
      <w:r>
        <w:rPr>
          <w:sz w:val="20"/>
        </w:rPr>
        <w:t>usług</w:t>
      </w:r>
    </w:p>
    <w:p w:rsidR="00FD79C6" w:rsidRDefault="00BF73AA">
      <w:pPr>
        <w:spacing w:before="126"/>
        <w:ind w:left="172"/>
        <w:jc w:val="both"/>
        <w:rPr>
          <w:b/>
          <w:sz w:val="20"/>
        </w:rPr>
      </w:pPr>
      <w:r>
        <w:rPr>
          <w:b/>
          <w:sz w:val="20"/>
        </w:rPr>
        <w:t>Rysunek 1. Schemat obrotów handlowych filii przedsiębiorstwa międzynarodowego</w:t>
      </w:r>
    </w:p>
    <w:p w:rsidR="00FD79C6" w:rsidRDefault="00BF73AA">
      <w:pPr>
        <w:spacing w:before="112"/>
        <w:ind w:left="172"/>
        <w:jc w:val="both"/>
        <w:rPr>
          <w:sz w:val="16"/>
        </w:rPr>
      </w:pPr>
      <w:r>
        <w:rPr>
          <w:sz w:val="16"/>
        </w:rPr>
        <w:t xml:space="preserve">Źródło: na podstawie: </w:t>
      </w:r>
      <w:r>
        <w:rPr>
          <w:color w:val="FF0000"/>
          <w:sz w:val="16"/>
        </w:rPr>
        <w:t>(Zorska, 1998, s. 123).</w:t>
      </w:r>
    </w:p>
    <w:p w:rsidR="00FD79C6" w:rsidRDefault="00FD79C6">
      <w:pPr>
        <w:pStyle w:val="Tekstpodstawowy"/>
        <w:rPr>
          <w:sz w:val="18"/>
        </w:rPr>
      </w:pPr>
    </w:p>
    <w:p w:rsidR="00FD79C6" w:rsidRDefault="00FD79C6">
      <w:pPr>
        <w:pStyle w:val="Tekstpodstawowy"/>
        <w:spacing w:before="7"/>
        <w:rPr>
          <w:sz w:val="25"/>
        </w:rPr>
      </w:pPr>
    </w:p>
    <w:p w:rsidR="00FD79C6" w:rsidRDefault="00BF73AA">
      <w:pPr>
        <w:pStyle w:val="Tekstpodstawowy"/>
        <w:spacing w:line="352" w:lineRule="auto"/>
        <w:ind w:left="172" w:right="304" w:firstLine="358"/>
        <w:jc w:val="both"/>
      </w:pPr>
      <w:r>
        <w:t>Wymiana wewnątrzkorporacyjna w zagregowanej postaci stanowi dużą część ogólnej wymiany handlowej w świecie. Szacuje się, że w połowie lat dziewięćdziesiątych łączne obroty wewnątrzkorporacyjne stanowiły 30–40% handlu światowego</w:t>
      </w:r>
      <w:r>
        <w:rPr>
          <w:position w:val="9"/>
          <w:sz w:val="16"/>
        </w:rPr>
        <w:t>2</w:t>
      </w:r>
      <w:r>
        <w:t>.</w:t>
      </w:r>
    </w:p>
    <w:p w:rsidR="00FD79C6" w:rsidRDefault="00B374E1">
      <w:pPr>
        <w:pStyle w:val="Tekstpodstawowy"/>
        <w:spacing w:before="10" w:line="360" w:lineRule="auto"/>
        <w:ind w:left="172" w:right="302" w:firstLine="358"/>
        <w:jc w:val="both"/>
      </w:pPr>
      <w:r>
        <w:pict>
          <v:line id="_x0000_s1029" style="position:absolute;left:0;text-align:left;z-index:-251656192;mso-wrap-distance-left:0;mso-wrap-distance-right:0;mso-position-horizontal-relative:page" from="56.65pt,130.55pt" to="200.7pt,130.55pt" strokeweight=".6pt">
            <w10:wrap type="topAndBottom" anchorx="page"/>
          </v:line>
        </w:pict>
      </w:r>
      <w:r w:rsidR="00BF73AA">
        <w:t xml:space="preserve">Przedstawione wyżej możliwości nie są jedynie konstrukcją teoretyczną. Mimo że ze </w:t>
      </w:r>
      <w:proofErr w:type="spellStart"/>
      <w:r w:rsidR="00BF73AA">
        <w:t>xxxxxxxxx</w:t>
      </w:r>
      <w:proofErr w:type="spellEnd"/>
      <w:r w:rsidR="00BF73AA">
        <w:t xml:space="preserve"> </w:t>
      </w:r>
      <w:proofErr w:type="spellStart"/>
      <w:r w:rsidR="00BF73AA">
        <w:t>xxxxx</w:t>
      </w:r>
      <w:proofErr w:type="spellEnd"/>
      <w:r w:rsidR="00BF73AA">
        <w:t xml:space="preserve"> </w:t>
      </w:r>
      <w:proofErr w:type="spellStart"/>
      <w:r w:rsidR="00BF73AA">
        <w:t>xxxxx</w:t>
      </w:r>
      <w:proofErr w:type="spellEnd"/>
      <w:r w:rsidR="00BF73AA">
        <w:t xml:space="preserve"> cen transferowych </w:t>
      </w:r>
      <w:r w:rsidR="00BF73AA">
        <w:rPr>
          <w:color w:val="FF0000"/>
        </w:rPr>
        <w:t xml:space="preserve">(Najlepszy, 1993) </w:t>
      </w:r>
      <w:r w:rsidR="00BF73AA">
        <w:t xml:space="preserve">na międzynarodową wymianę handlową oraz kształtowanie się cen w handlu międzynarodowym wiążą się pewne problemy </w:t>
      </w:r>
      <w:r w:rsidR="00BF73AA">
        <w:rPr>
          <w:color w:val="FF0000"/>
        </w:rPr>
        <w:t>(Michalak, Krzewski i Maliszewski, 1997, s. 234)</w:t>
      </w:r>
      <w:r w:rsidR="00BF73AA">
        <w:t xml:space="preserve">, badania </w:t>
      </w:r>
      <w:proofErr w:type="spellStart"/>
      <w:r w:rsidR="00BF73AA">
        <w:t>xxxxx</w:t>
      </w:r>
      <w:proofErr w:type="spellEnd"/>
      <w:r w:rsidR="00BF73AA">
        <w:t xml:space="preserve"> </w:t>
      </w:r>
      <w:proofErr w:type="spellStart"/>
      <w:r w:rsidR="00BF73AA">
        <w:t>xxxxxx</w:t>
      </w:r>
      <w:proofErr w:type="spellEnd"/>
      <w:r w:rsidR="00BF73AA">
        <w:t xml:space="preserve"> </w:t>
      </w:r>
      <w:proofErr w:type="spellStart"/>
      <w:r w:rsidR="00BF73AA">
        <w:t>xxxx</w:t>
      </w:r>
      <w:proofErr w:type="spellEnd"/>
      <w:r w:rsidR="00BF73AA">
        <w:t xml:space="preserve"> jednostek macierzystych, w których występuje niższe opodatkowanie. Konkluzje płynące z wyżej </w:t>
      </w:r>
      <w:proofErr w:type="spellStart"/>
      <w:r w:rsidR="00BF73AA">
        <w:t>xxxxxxx</w:t>
      </w:r>
      <w:proofErr w:type="spellEnd"/>
      <w:r w:rsidR="00BF73AA">
        <w:t xml:space="preserve"> </w:t>
      </w:r>
      <w:proofErr w:type="spellStart"/>
      <w:r w:rsidR="00BF73AA">
        <w:t>xxxxxxx</w:t>
      </w:r>
      <w:proofErr w:type="spellEnd"/>
      <w:r w:rsidR="00BF73AA">
        <w:t xml:space="preserve"> wskazują, że po pierwsze, handel</w:t>
      </w:r>
    </w:p>
    <w:p w:rsidR="00FD79C6" w:rsidRDefault="00BF73AA">
      <w:pPr>
        <w:pStyle w:val="Tekstpodstawowy"/>
        <w:spacing w:before="73" w:line="360" w:lineRule="auto"/>
        <w:ind w:left="172" w:right="303" w:firstLine="360"/>
        <w:jc w:val="both"/>
      </w:pPr>
      <w:r>
        <w:rPr>
          <w:position w:val="6"/>
          <w:sz w:val="12"/>
        </w:rPr>
        <w:t xml:space="preserve">2 </w:t>
      </w:r>
      <w:r>
        <w:t xml:space="preserve">Szacunki dla Stanów Zjednoczonych dokonane w 1994 roku pokazują, że wymiana wewnątrzkorporacyjna stanowiła około 36% eksportu i około 43% importu tego kraju </w:t>
      </w:r>
      <w:r>
        <w:rPr>
          <w:color w:val="FF0000"/>
        </w:rPr>
        <w:t>(Dereń, 1998; Zorska, 1998, s. 121–122).</w:t>
      </w:r>
    </w:p>
    <w:p w:rsidR="00FD79C6" w:rsidRDefault="00FD79C6">
      <w:pPr>
        <w:spacing w:line="360" w:lineRule="auto"/>
        <w:jc w:val="both"/>
        <w:sectPr w:rsidR="00FD79C6">
          <w:pgSz w:w="11910" w:h="16840"/>
          <w:pgMar w:top="1320" w:right="1680" w:bottom="960" w:left="960" w:header="0" w:footer="777" w:gutter="0"/>
          <w:cols w:space="708"/>
        </w:sectPr>
      </w:pPr>
    </w:p>
    <w:p w:rsidR="00FD79C6" w:rsidRDefault="00BF73AA">
      <w:pPr>
        <w:pStyle w:val="Tekstpodstawowy"/>
        <w:spacing w:before="74" w:line="360" w:lineRule="auto"/>
        <w:ind w:left="172" w:right="308"/>
        <w:jc w:val="both"/>
      </w:pPr>
      <w:r>
        <w:lastRenderedPageBreak/>
        <w:t xml:space="preserve">wewnątrzkorporacyjny kształtuje się m.in. pod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strategii minimalizacji obciążeń podatkowych, po drugie, wysokość cen transferowych </w:t>
      </w:r>
      <w:proofErr w:type="spellStart"/>
      <w:r>
        <w:t>xxxx</w:t>
      </w:r>
      <w:proofErr w:type="spellEnd"/>
      <w:r>
        <w:t xml:space="preserve"> od relacji w wysokości opodatkowania.</w:t>
      </w:r>
    </w:p>
    <w:p w:rsidR="00FD79C6" w:rsidRDefault="00FD79C6">
      <w:pPr>
        <w:pStyle w:val="Tekstpodstawowy"/>
        <w:spacing w:before="4"/>
        <w:rPr>
          <w:sz w:val="36"/>
        </w:rPr>
      </w:pPr>
    </w:p>
    <w:p w:rsidR="00FD79C6" w:rsidRDefault="00BF73AA">
      <w:pPr>
        <w:pStyle w:val="Nagwek1"/>
        <w:spacing w:before="0" w:line="360" w:lineRule="auto"/>
        <w:ind w:right="2007"/>
      </w:pPr>
      <w:r>
        <w:t>1. Model wpływu strategii minimalizacji opodatkowania na międzynarodowy handel wewnątrzkorporacyjny</w:t>
      </w:r>
    </w:p>
    <w:p w:rsidR="00FD79C6" w:rsidRDefault="00BF73AA">
      <w:pPr>
        <w:pStyle w:val="Tekstpodstawowy"/>
        <w:spacing w:line="360" w:lineRule="auto"/>
        <w:ind w:left="172" w:right="306"/>
        <w:jc w:val="both"/>
      </w:pPr>
      <w:r>
        <w:t xml:space="preserve">Wpływ strategii minimalizacji opodatkowania na handel wewnątrzkorporacyjny może być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xxxxxxxxxx</w:t>
      </w:r>
      <w:proofErr w:type="spellEnd"/>
      <w:r>
        <w:t xml:space="preserve"> xxx analizującego decyzje przedsiębiorstwa realizującego sprzedaż jednocześnie w dwóch krajach, w których występują </w:t>
      </w:r>
      <w:r>
        <w:rPr>
          <w:color w:val="FF0000"/>
        </w:rPr>
        <w:t>(OECD, 1997)</w:t>
      </w:r>
      <w:r>
        <w:t>.</w:t>
      </w:r>
    </w:p>
    <w:p w:rsidR="00FD79C6" w:rsidRDefault="00BF73AA">
      <w:pPr>
        <w:pStyle w:val="Tekstpodstawowy"/>
        <w:spacing w:line="360" w:lineRule="auto"/>
        <w:ind w:left="172" w:right="299" w:firstLine="358"/>
        <w:jc w:val="both"/>
      </w:pPr>
      <w:r>
        <w:t xml:space="preserve">Zakłada się, że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opodatkowaniu jest równy sumie dochodów po opodatkowaniu jednostek w obu krajach z uwzględnieniem wpływu transferu </w:t>
      </w:r>
      <w:proofErr w:type="spellStart"/>
      <w:r>
        <w:t>xxxxxxxxx</w:t>
      </w:r>
      <w:proofErr w:type="spellEnd"/>
      <w:r>
        <w:t xml:space="preserve"> dokonanego przy użyciu cen transferowych. Generuje to sytuację, w której wysokości cen </w:t>
      </w:r>
      <w:proofErr w:type="spellStart"/>
      <w:r>
        <w:t>xxxxxxxxxx</w:t>
      </w:r>
      <w:proofErr w:type="spellEnd"/>
      <w:r>
        <w:t xml:space="preserve"> xxx w stosunku  do  cen  rynkowych  w  zależności  od  relatywnych  różnic w stawkach podatkowych występujących w obu krajach </w:t>
      </w:r>
      <w:r>
        <w:rPr>
          <w:color w:val="FF0000"/>
        </w:rPr>
        <w:t>(</w:t>
      </w:r>
      <w:r>
        <w:rPr>
          <w:i/>
          <w:color w:val="FF0000"/>
        </w:rPr>
        <w:t xml:space="preserve">Międzynarodowy, </w:t>
      </w:r>
      <w:r>
        <w:rPr>
          <w:color w:val="FF0000"/>
        </w:rPr>
        <w:t>1997)</w:t>
      </w:r>
      <w:r>
        <w:t xml:space="preserve">. Zakładając, że w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</w:t>
      </w:r>
      <w:proofErr w:type="spellEnd"/>
      <w:r>
        <w:t xml:space="preserve"> dochodów przedsiębiorstwo będzie zaniżać ceny towarów sprzedawanych do sprzedawanych do kraju zawyżać ceny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xxx zawyżać ceny towarów sprzedawanych do kraju o wyższej stopie opodatkowania, model przewiduje przesuwanie zysku do kraju o niższym </w:t>
      </w:r>
      <w:proofErr w:type="spellStart"/>
      <w:r>
        <w:t>xxxxxx</w:t>
      </w:r>
      <w:proofErr w:type="spellEnd"/>
      <w:r>
        <w:t xml:space="preserve">. Dla uproszczenia można </w:t>
      </w:r>
      <w:proofErr w:type="spellStart"/>
      <w:r>
        <w:t>xxxxxxxxxxxx</w:t>
      </w:r>
      <w:proofErr w:type="spellEnd"/>
      <w:r>
        <w:t xml:space="preserve"> </w:t>
      </w:r>
      <w:proofErr w:type="spellStart"/>
      <w:r>
        <w:t>xxxx</w:t>
      </w:r>
      <w:proofErr w:type="spellEnd"/>
      <w:r>
        <w:t xml:space="preserve">, a niezbędny transfer dochodu jest realizowany poprzez zawyżanie sprzedawanych  do kraju </w:t>
      </w:r>
      <w:proofErr w:type="spellStart"/>
      <w:r>
        <w:t>xxxxxxxxx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lub zaniżanie ceny transferowej do cen</w:t>
      </w:r>
      <w:r>
        <w:rPr>
          <w:spacing w:val="-12"/>
        </w:rPr>
        <w:t xml:space="preserve"> </w:t>
      </w:r>
      <w:r>
        <w:t>rynkowych.</w:t>
      </w:r>
    </w:p>
    <w:p w:rsidR="00FD79C6" w:rsidRDefault="00BF73AA">
      <w:pPr>
        <w:pStyle w:val="Tekstpodstawowy"/>
        <w:spacing w:line="360" w:lineRule="auto"/>
        <w:ind w:left="172" w:right="305" w:firstLine="358"/>
        <w:jc w:val="both"/>
      </w:pPr>
      <w:r>
        <w:t xml:space="preserve">W tych warunkach </w:t>
      </w:r>
      <w:proofErr w:type="spellStart"/>
      <w:r>
        <w:t>xxxxxxxxx</w:t>
      </w:r>
      <w:proofErr w:type="spellEnd"/>
      <w:r>
        <w:t xml:space="preserve"> sprzedawanych do kraju </w:t>
      </w:r>
      <w:proofErr w:type="spellStart"/>
      <w:r>
        <w:t>xxxxx</w:t>
      </w:r>
      <w:proofErr w:type="spellEnd"/>
      <w:r>
        <w:t xml:space="preserve"> zawyżać ceny towarów przed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xxxxxxxxxxx</w:t>
      </w:r>
      <w:proofErr w:type="spellEnd"/>
      <w:r>
        <w:t xml:space="preserve"> dla jednostek przedsiębiorstwa w obu sprzedawanych </w:t>
      </w:r>
      <w:proofErr w:type="spellStart"/>
      <w:r>
        <w:t>xxxxx</w:t>
      </w:r>
      <w:proofErr w:type="spellEnd"/>
      <w:r>
        <w:t xml:space="preserve"> można </w:t>
      </w:r>
      <w:proofErr w:type="spellStart"/>
      <w:r>
        <w:t>xxxxx</w:t>
      </w:r>
      <w:proofErr w:type="spellEnd"/>
      <w:r>
        <w:rPr>
          <w:spacing w:val="2"/>
        </w:rPr>
        <w:t xml:space="preserve"> </w:t>
      </w:r>
      <w:r>
        <w:t>następująco:</w:t>
      </w:r>
    </w:p>
    <w:p w:rsidR="00FD79C6" w:rsidRDefault="00FD79C6">
      <w:pPr>
        <w:pStyle w:val="Tekstpodstawowy"/>
        <w:spacing w:before="8"/>
        <w:rPr>
          <w:sz w:val="35"/>
        </w:rPr>
      </w:pPr>
    </w:p>
    <w:p w:rsidR="00FD79C6" w:rsidRDefault="00BF73AA">
      <w:pPr>
        <w:tabs>
          <w:tab w:val="left" w:pos="8378"/>
        </w:tabs>
        <w:ind w:left="2522"/>
        <w:jc w:val="center"/>
        <w:rPr>
          <w:sz w:val="24"/>
        </w:rPr>
      </w:pPr>
      <w:r>
        <w:rPr>
          <w:i/>
          <w:position w:val="2"/>
          <w:sz w:val="24"/>
        </w:rPr>
        <w:t>Π</w:t>
      </w:r>
      <w:r>
        <w:rPr>
          <w:sz w:val="16"/>
        </w:rPr>
        <w:t xml:space="preserve">1 </w:t>
      </w:r>
      <w:r>
        <w:rPr>
          <w:position w:val="2"/>
          <w:sz w:val="24"/>
        </w:rPr>
        <w:t xml:space="preserve">= </w:t>
      </w:r>
      <w:r>
        <w:rPr>
          <w:i/>
          <w:position w:val="2"/>
          <w:sz w:val="24"/>
        </w:rPr>
        <w:t>R</w:t>
      </w:r>
      <w:r>
        <w:rPr>
          <w:sz w:val="16"/>
        </w:rPr>
        <w:t>1</w:t>
      </w:r>
      <w:r>
        <w:rPr>
          <w:position w:val="2"/>
          <w:sz w:val="24"/>
        </w:rPr>
        <w:t>(</w:t>
      </w:r>
      <w:r>
        <w:rPr>
          <w:i/>
          <w:position w:val="2"/>
          <w:sz w:val="24"/>
        </w:rPr>
        <w:t>s</w:t>
      </w:r>
      <w:r>
        <w:rPr>
          <w:sz w:val="16"/>
        </w:rPr>
        <w:t>1</w:t>
      </w:r>
      <w:r>
        <w:rPr>
          <w:position w:val="2"/>
          <w:sz w:val="24"/>
        </w:rPr>
        <w:t xml:space="preserve">) – </w:t>
      </w:r>
      <w:r>
        <w:rPr>
          <w:i/>
          <w:position w:val="2"/>
          <w:sz w:val="24"/>
        </w:rPr>
        <w:t>C</w:t>
      </w:r>
      <w:r>
        <w:rPr>
          <w:sz w:val="16"/>
        </w:rPr>
        <w:t>1</w:t>
      </w:r>
      <w:r>
        <w:rPr>
          <w:position w:val="2"/>
          <w:sz w:val="24"/>
        </w:rPr>
        <w:t>(</w:t>
      </w:r>
      <w:r>
        <w:rPr>
          <w:i/>
          <w:position w:val="2"/>
          <w:sz w:val="24"/>
        </w:rPr>
        <w:t>s</w:t>
      </w:r>
      <w:r>
        <w:rPr>
          <w:sz w:val="16"/>
        </w:rPr>
        <w:t xml:space="preserve">1 </w:t>
      </w:r>
      <w:r>
        <w:rPr>
          <w:position w:val="2"/>
          <w:sz w:val="24"/>
        </w:rPr>
        <w:t xml:space="preserve">+ </w:t>
      </w:r>
      <w:r>
        <w:rPr>
          <w:i/>
          <w:position w:val="2"/>
          <w:sz w:val="24"/>
        </w:rPr>
        <w:t>m</w:t>
      </w:r>
      <w:r>
        <w:rPr>
          <w:position w:val="2"/>
          <w:sz w:val="24"/>
        </w:rPr>
        <w:t>)</w:t>
      </w:r>
      <w:r>
        <w:rPr>
          <w:spacing w:val="36"/>
          <w:position w:val="2"/>
          <w:sz w:val="24"/>
        </w:rPr>
        <w:t xml:space="preserve"> </w:t>
      </w:r>
      <w:r>
        <w:rPr>
          <w:position w:val="2"/>
          <w:sz w:val="24"/>
        </w:rPr>
        <w:t>+</w:t>
      </w:r>
      <w:r>
        <w:rPr>
          <w:spacing w:val="-2"/>
          <w:position w:val="2"/>
          <w:sz w:val="24"/>
        </w:rPr>
        <w:t xml:space="preserve"> </w:t>
      </w:r>
      <w:proofErr w:type="spellStart"/>
      <w:r>
        <w:rPr>
          <w:i/>
          <w:position w:val="2"/>
          <w:sz w:val="24"/>
        </w:rPr>
        <w:t>pm</w:t>
      </w:r>
      <w:proofErr w:type="spellEnd"/>
      <w:r>
        <w:rPr>
          <w:position w:val="2"/>
          <w:sz w:val="24"/>
        </w:rPr>
        <w:t>,</w:t>
      </w:r>
      <w:r>
        <w:rPr>
          <w:position w:val="2"/>
          <w:sz w:val="24"/>
        </w:rPr>
        <w:tab/>
        <w:t>(1)</w:t>
      </w:r>
    </w:p>
    <w:p w:rsidR="00FD79C6" w:rsidRDefault="00FD79C6">
      <w:pPr>
        <w:pStyle w:val="Tekstpodstawowy"/>
        <w:spacing w:before="8"/>
        <w:rPr>
          <w:sz w:val="35"/>
        </w:rPr>
      </w:pPr>
    </w:p>
    <w:p w:rsidR="00FD79C6" w:rsidRDefault="00BF73AA">
      <w:pPr>
        <w:tabs>
          <w:tab w:val="left" w:pos="8682"/>
        </w:tabs>
        <w:spacing w:line="278" w:lineRule="exact"/>
        <w:ind w:left="2842"/>
        <w:rPr>
          <w:sz w:val="24"/>
        </w:rPr>
      </w:pPr>
      <w:r>
        <w:rPr>
          <w:i/>
          <w:position w:val="2"/>
          <w:sz w:val="24"/>
        </w:rPr>
        <w:t>Π</w:t>
      </w:r>
      <w:r>
        <w:rPr>
          <w:sz w:val="16"/>
        </w:rPr>
        <w:t xml:space="preserve">2 </w:t>
      </w:r>
      <w:r>
        <w:rPr>
          <w:position w:val="2"/>
          <w:sz w:val="24"/>
        </w:rPr>
        <w:t xml:space="preserve">= </w:t>
      </w:r>
      <w:r>
        <w:rPr>
          <w:i/>
          <w:position w:val="2"/>
          <w:sz w:val="24"/>
        </w:rPr>
        <w:t>R</w:t>
      </w:r>
      <w:r>
        <w:rPr>
          <w:sz w:val="16"/>
        </w:rPr>
        <w:t>2</w:t>
      </w:r>
      <w:r>
        <w:rPr>
          <w:position w:val="2"/>
          <w:sz w:val="24"/>
        </w:rPr>
        <w:t>(</w:t>
      </w:r>
      <w:r>
        <w:rPr>
          <w:i/>
          <w:position w:val="2"/>
          <w:sz w:val="24"/>
        </w:rPr>
        <w:t>s</w:t>
      </w:r>
      <w:r>
        <w:rPr>
          <w:sz w:val="16"/>
        </w:rPr>
        <w:t>2</w:t>
      </w:r>
      <w:r>
        <w:rPr>
          <w:position w:val="2"/>
          <w:sz w:val="24"/>
        </w:rPr>
        <w:t xml:space="preserve">) – </w:t>
      </w:r>
      <w:r>
        <w:rPr>
          <w:i/>
          <w:position w:val="2"/>
          <w:sz w:val="24"/>
        </w:rPr>
        <w:t>C</w:t>
      </w:r>
      <w:r>
        <w:rPr>
          <w:sz w:val="16"/>
        </w:rPr>
        <w:t>2</w:t>
      </w:r>
      <w:r>
        <w:rPr>
          <w:position w:val="2"/>
          <w:sz w:val="24"/>
        </w:rPr>
        <w:t>(</w:t>
      </w:r>
      <w:r>
        <w:rPr>
          <w:i/>
          <w:position w:val="2"/>
          <w:sz w:val="24"/>
        </w:rPr>
        <w:t>s</w:t>
      </w:r>
      <w:r>
        <w:rPr>
          <w:sz w:val="16"/>
        </w:rPr>
        <w:t xml:space="preserve">2 </w:t>
      </w:r>
      <w:r>
        <w:rPr>
          <w:position w:val="2"/>
          <w:sz w:val="24"/>
        </w:rPr>
        <w:t xml:space="preserve">– </w:t>
      </w:r>
      <w:r>
        <w:rPr>
          <w:i/>
          <w:position w:val="2"/>
          <w:sz w:val="24"/>
        </w:rPr>
        <w:t>m</w:t>
      </w:r>
      <w:r>
        <w:rPr>
          <w:position w:val="2"/>
          <w:sz w:val="24"/>
        </w:rPr>
        <w:t>)</w:t>
      </w:r>
      <w:r>
        <w:rPr>
          <w:spacing w:val="34"/>
          <w:position w:val="2"/>
          <w:sz w:val="24"/>
        </w:rPr>
        <w:t xml:space="preserve"> </w:t>
      </w:r>
      <w:r>
        <w:rPr>
          <w:position w:val="2"/>
          <w:sz w:val="24"/>
        </w:rPr>
        <w:t xml:space="preserve">– </w:t>
      </w:r>
      <w:proofErr w:type="spellStart"/>
      <w:r>
        <w:rPr>
          <w:i/>
          <w:position w:val="2"/>
          <w:sz w:val="24"/>
        </w:rPr>
        <w:t>pm</w:t>
      </w:r>
      <w:proofErr w:type="spellEnd"/>
      <w:r>
        <w:rPr>
          <w:position w:val="2"/>
          <w:sz w:val="24"/>
        </w:rPr>
        <w:t>.</w:t>
      </w:r>
      <w:r>
        <w:rPr>
          <w:position w:val="2"/>
          <w:sz w:val="24"/>
        </w:rPr>
        <w:tab/>
        <w:t>(2)</w:t>
      </w:r>
    </w:p>
    <w:p w:rsidR="00FD79C6" w:rsidRDefault="00BF73AA">
      <w:pPr>
        <w:pStyle w:val="Tekstpodstawowy"/>
        <w:spacing w:line="275" w:lineRule="exact"/>
        <w:ind w:left="172"/>
        <w:jc w:val="both"/>
      </w:pPr>
      <w:proofErr w:type="spellStart"/>
      <w:r>
        <w:t>xxxxxxxxxxxxxxx</w:t>
      </w:r>
      <w:proofErr w:type="spellEnd"/>
      <w:r>
        <w:t xml:space="preserve"> </w:t>
      </w:r>
      <w:proofErr w:type="spellStart"/>
      <w:r>
        <w:t>xxxxxxxxxxxxxxxxxxxxx</w:t>
      </w:r>
      <w:proofErr w:type="spellEnd"/>
      <w:r>
        <w:t xml:space="preserve"> </w:t>
      </w:r>
      <w:proofErr w:type="spellStart"/>
      <w:r>
        <w:t>xxxxxxxxxxxxxxxxx</w:t>
      </w:r>
      <w:proofErr w:type="spellEnd"/>
      <w:r>
        <w:t xml:space="preserve"> </w:t>
      </w:r>
      <w:proofErr w:type="spellStart"/>
      <w:r>
        <w:t>xxxxxxxxxxxx</w:t>
      </w:r>
      <w:proofErr w:type="spellEnd"/>
    </w:p>
    <w:p w:rsidR="00FD79C6" w:rsidRDefault="00B374E1">
      <w:pPr>
        <w:tabs>
          <w:tab w:val="left" w:pos="8378"/>
        </w:tabs>
        <w:spacing w:before="40"/>
        <w:ind w:left="2632"/>
        <w:jc w:val="center"/>
        <w:rPr>
          <w:sz w:val="24"/>
        </w:rPr>
      </w:pPr>
      <w:r>
        <w:pict>
          <v:shape id="_x0000_s1028" type="#_x0000_t202" style="position:absolute;left:0;text-align:left;margin-left:305.15pt;margin-top:9.95pt;width:3.55pt;height:7.95pt;z-index:-251659264;mso-position-horizontal-relative:page" filled="f" stroked="f">
            <v:textbox inset="0,0,0,0">
              <w:txbxContent>
                <w:p w:rsidR="00FD79C6" w:rsidRDefault="00BF73AA">
                  <w:pPr>
                    <w:spacing w:line="158" w:lineRule="exact"/>
                    <w:rPr>
                      <w:sz w:val="14"/>
                    </w:rPr>
                  </w:pPr>
                  <w:r>
                    <w:rPr>
                      <w:sz w:val="14"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BF73AA">
        <w:rPr>
          <w:i/>
          <w:position w:val="2"/>
          <w:sz w:val="24"/>
        </w:rPr>
        <w:t>Π</w:t>
      </w:r>
      <w:r w:rsidR="00BF73AA">
        <w:rPr>
          <w:i/>
          <w:sz w:val="16"/>
        </w:rPr>
        <w:t xml:space="preserve">p </w:t>
      </w:r>
      <w:r w:rsidR="00BF73AA">
        <w:rPr>
          <w:position w:val="2"/>
          <w:sz w:val="24"/>
        </w:rPr>
        <w:t xml:space="preserve">= (1 – </w:t>
      </w:r>
      <w:r w:rsidR="00BF73AA">
        <w:rPr>
          <w:i/>
          <w:position w:val="2"/>
          <w:sz w:val="24"/>
        </w:rPr>
        <w:t>t</w:t>
      </w:r>
      <w:r w:rsidR="00BF73AA">
        <w:rPr>
          <w:sz w:val="16"/>
        </w:rPr>
        <w:t>1</w:t>
      </w:r>
      <w:r w:rsidR="00BF73AA">
        <w:rPr>
          <w:position w:val="2"/>
          <w:sz w:val="24"/>
        </w:rPr>
        <w:t xml:space="preserve">) </w:t>
      </w:r>
      <w:r w:rsidR="00BF73AA">
        <w:rPr>
          <w:i/>
          <w:position w:val="2"/>
          <w:sz w:val="24"/>
        </w:rPr>
        <w:t xml:space="preserve">m </w:t>
      </w:r>
      <w:r w:rsidR="00BF73AA">
        <w:rPr>
          <w:position w:val="2"/>
          <w:sz w:val="24"/>
        </w:rPr>
        <w:t xml:space="preserve">+ (1 – </w:t>
      </w:r>
      <w:r w:rsidR="00BF73AA">
        <w:rPr>
          <w:i/>
          <w:position w:val="1"/>
        </w:rPr>
        <w:t xml:space="preserve">t </w:t>
      </w:r>
      <w:r w:rsidR="00BF73AA">
        <w:rPr>
          <w:i/>
          <w:position w:val="1"/>
          <w:vertAlign w:val="superscript"/>
        </w:rPr>
        <w:t>e</w:t>
      </w:r>
      <w:r w:rsidR="00BF73AA">
        <w:rPr>
          <w:i/>
          <w:spacing w:val="6"/>
          <w:position w:val="1"/>
        </w:rPr>
        <w:t xml:space="preserve"> </w:t>
      </w:r>
      <w:r w:rsidR="00BF73AA">
        <w:rPr>
          <w:position w:val="2"/>
          <w:sz w:val="24"/>
        </w:rPr>
        <w:t xml:space="preserve">) </w:t>
      </w:r>
      <w:r w:rsidR="00BF73AA">
        <w:rPr>
          <w:i/>
          <w:position w:val="2"/>
          <w:sz w:val="24"/>
        </w:rPr>
        <w:t>m</w:t>
      </w:r>
      <w:r w:rsidR="00BF73AA">
        <w:rPr>
          <w:position w:val="2"/>
          <w:sz w:val="24"/>
        </w:rPr>
        <w:t>.</w:t>
      </w:r>
      <w:r w:rsidR="00BF73AA">
        <w:rPr>
          <w:position w:val="2"/>
          <w:sz w:val="24"/>
        </w:rPr>
        <w:tab/>
        <w:t>(6)</w:t>
      </w:r>
    </w:p>
    <w:p w:rsidR="00FD79C6" w:rsidRDefault="00FD79C6">
      <w:pPr>
        <w:pStyle w:val="Tekstpodstawowy"/>
        <w:rPr>
          <w:sz w:val="20"/>
        </w:rPr>
      </w:pPr>
    </w:p>
    <w:p w:rsidR="00FD79C6" w:rsidRDefault="00FD79C6">
      <w:pPr>
        <w:rPr>
          <w:sz w:val="20"/>
        </w:rPr>
        <w:sectPr w:rsidR="00FD79C6">
          <w:pgSz w:w="11910" w:h="16840"/>
          <w:pgMar w:top="1320" w:right="1680" w:bottom="960" w:left="960" w:header="0" w:footer="777" w:gutter="0"/>
          <w:cols w:space="708"/>
        </w:sectPr>
      </w:pPr>
    </w:p>
    <w:p w:rsidR="00FD79C6" w:rsidRDefault="00FD79C6">
      <w:pPr>
        <w:pStyle w:val="Tekstpodstawowy"/>
        <w:spacing w:before="1"/>
        <w:rPr>
          <w:sz w:val="22"/>
        </w:rPr>
      </w:pPr>
    </w:p>
    <w:p w:rsidR="00FD79C6" w:rsidRDefault="00B374E1">
      <w:pPr>
        <w:pStyle w:val="Tekstpodstawowy"/>
        <w:tabs>
          <w:tab w:val="left" w:pos="1863"/>
          <w:tab w:val="left" w:pos="2355"/>
          <w:tab w:val="left" w:pos="3331"/>
          <w:tab w:val="left" w:pos="4808"/>
          <w:tab w:val="left" w:pos="5195"/>
        </w:tabs>
        <w:spacing w:line="278" w:lineRule="auto"/>
        <w:ind w:left="172" w:right="38"/>
      </w:pPr>
      <w:r>
        <w:pict>
          <v:shape id="_x0000_s1027" type="#_x0000_t202" style="position:absolute;left:0;text-align:left;margin-left:356.9pt;margin-top:1.45pt;width:3.1pt;height:12.45pt;z-index:251655168;mso-position-horizontal-relative:page" filled="f" stroked="f">
            <v:textbox inset="0,0,0,0">
              <w:txbxContent>
                <w:p w:rsidR="00FD79C6" w:rsidRDefault="00BF73AA">
                  <w:pPr>
                    <w:spacing w:line="248" w:lineRule="exact"/>
                    <w:rPr>
                      <w:i/>
                    </w:rPr>
                  </w:pPr>
                  <w:r>
                    <w:rPr>
                      <w:i/>
                    </w:rPr>
                    <w:t>t</w:t>
                  </w:r>
                </w:p>
              </w:txbxContent>
            </v:textbox>
            <w10:wrap anchorx="page"/>
          </v:shape>
        </w:pict>
      </w:r>
      <w:r>
        <w:pict>
          <v:shape id="_x0000_s1026" type="#_x0000_t202" style="position:absolute;left:0;text-align:left;margin-left:360.35pt;margin-top:7.9pt;width:3.55pt;height:7.95pt;z-index:-251658240;mso-position-horizontal-relative:page" filled="f" stroked="f">
            <v:textbox inset="0,0,0,0">
              <w:txbxContent>
                <w:p w:rsidR="00FD79C6" w:rsidRDefault="00BF73AA">
                  <w:pPr>
                    <w:spacing w:line="158" w:lineRule="exact"/>
                    <w:rPr>
                      <w:sz w:val="14"/>
                    </w:rPr>
                  </w:pPr>
                  <w:r>
                    <w:rPr>
                      <w:sz w:val="14"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BF73AA">
        <w:t>Przekształcając</w:t>
      </w:r>
      <w:r w:rsidR="00BF73AA">
        <w:tab/>
        <w:t>(6)</w:t>
      </w:r>
      <w:r w:rsidR="00BF73AA">
        <w:tab/>
        <w:t>poprzez</w:t>
      </w:r>
      <w:r w:rsidR="00BF73AA">
        <w:tab/>
        <w:t>podstawienie</w:t>
      </w:r>
      <w:r w:rsidR="00BF73AA">
        <w:tab/>
        <w:t>w</w:t>
      </w:r>
      <w:r w:rsidR="00BF73AA">
        <w:tab/>
      </w:r>
      <w:r w:rsidR="00BF73AA">
        <w:rPr>
          <w:spacing w:val="-4"/>
        </w:rPr>
        <w:t xml:space="preserve">miejsce </w:t>
      </w:r>
      <w:r w:rsidR="00BF73AA">
        <w:t>otrzymujemy:</w:t>
      </w:r>
    </w:p>
    <w:p w:rsidR="00FD79C6" w:rsidRDefault="00BF73AA">
      <w:pPr>
        <w:pStyle w:val="Tekstpodstawowy"/>
        <w:tabs>
          <w:tab w:val="left" w:pos="507"/>
          <w:tab w:val="left" w:pos="1438"/>
          <w:tab w:val="left" w:pos="2545"/>
        </w:tabs>
        <w:spacing w:before="248"/>
        <w:ind w:left="186"/>
      </w:pPr>
      <w:r>
        <w:br w:type="column"/>
      </w:r>
      <w:r>
        <w:rPr>
          <w:i/>
          <w:position w:val="10"/>
          <w:sz w:val="14"/>
        </w:rPr>
        <w:t>e</w:t>
      </w:r>
      <w:r>
        <w:rPr>
          <w:i/>
          <w:position w:val="10"/>
          <w:sz w:val="14"/>
        </w:rPr>
        <w:tab/>
      </w:r>
      <w:r>
        <w:t>wyniku</w:t>
      </w:r>
      <w:r>
        <w:tab/>
        <w:t>równania</w:t>
      </w:r>
      <w:r>
        <w:tab/>
        <w:t>(3),</w:t>
      </w:r>
    </w:p>
    <w:p w:rsidR="00FD79C6" w:rsidRDefault="00FD79C6">
      <w:pPr>
        <w:sectPr w:rsidR="00FD79C6">
          <w:type w:val="continuous"/>
          <w:pgSz w:w="11910" w:h="16840"/>
          <w:pgMar w:top="1580" w:right="1680" w:bottom="960" w:left="960" w:header="708" w:footer="708" w:gutter="0"/>
          <w:cols w:num="2" w:space="708" w:equalWidth="0">
            <w:col w:w="5969" w:space="106"/>
            <w:col w:w="3195"/>
          </w:cols>
        </w:sectPr>
      </w:pPr>
    </w:p>
    <w:p w:rsidR="00FD79C6" w:rsidRDefault="00FD79C6">
      <w:pPr>
        <w:pStyle w:val="Tekstpodstawowy"/>
        <w:spacing w:before="2"/>
      </w:pPr>
    </w:p>
    <w:p w:rsidR="00FD79C6" w:rsidRDefault="00BF73AA">
      <w:pPr>
        <w:tabs>
          <w:tab w:val="left" w:pos="8682"/>
        </w:tabs>
        <w:spacing w:before="89"/>
        <w:ind w:left="3125"/>
        <w:rPr>
          <w:sz w:val="24"/>
        </w:rPr>
      </w:pPr>
      <w:r>
        <w:rPr>
          <w:i/>
          <w:position w:val="2"/>
          <w:sz w:val="24"/>
        </w:rPr>
        <w:t>Π</w:t>
      </w:r>
      <w:r>
        <w:rPr>
          <w:i/>
          <w:sz w:val="16"/>
        </w:rPr>
        <w:t xml:space="preserve">p  </w:t>
      </w:r>
      <w:r>
        <w:rPr>
          <w:position w:val="2"/>
          <w:sz w:val="24"/>
        </w:rPr>
        <w:t>= – (</w:t>
      </w:r>
      <w:r>
        <w:rPr>
          <w:i/>
          <w:position w:val="2"/>
          <w:sz w:val="24"/>
        </w:rPr>
        <w:t>t</w:t>
      </w:r>
      <w:r>
        <w:rPr>
          <w:sz w:val="16"/>
        </w:rPr>
        <w:t xml:space="preserve">1  </w:t>
      </w:r>
      <w:r>
        <w:rPr>
          <w:position w:val="2"/>
          <w:sz w:val="24"/>
        </w:rPr>
        <w:t xml:space="preserve">– </w:t>
      </w:r>
      <w:r>
        <w:rPr>
          <w:i/>
          <w:position w:val="2"/>
          <w:sz w:val="24"/>
        </w:rPr>
        <w:t>t</w:t>
      </w:r>
      <w:r>
        <w:rPr>
          <w:sz w:val="16"/>
        </w:rPr>
        <w:t>2</w:t>
      </w:r>
      <w:r>
        <w:rPr>
          <w:position w:val="2"/>
          <w:sz w:val="24"/>
        </w:rPr>
        <w:t>) (1 –</w:t>
      </w:r>
      <w:r>
        <w:rPr>
          <w:spacing w:val="-42"/>
          <w:position w:val="2"/>
          <w:sz w:val="24"/>
        </w:rPr>
        <w:t xml:space="preserve"> </w:t>
      </w:r>
      <w:r>
        <w:rPr>
          <w:i/>
          <w:position w:val="2"/>
          <w:sz w:val="24"/>
        </w:rPr>
        <w:t>f</w:t>
      </w:r>
      <w:r>
        <w:rPr>
          <w:position w:val="2"/>
          <w:sz w:val="24"/>
        </w:rPr>
        <w:t>)</w:t>
      </w:r>
      <w:r>
        <w:rPr>
          <w:spacing w:val="-1"/>
          <w:position w:val="2"/>
          <w:sz w:val="24"/>
        </w:rPr>
        <w:t xml:space="preserve"> </w:t>
      </w:r>
      <w:r>
        <w:rPr>
          <w:i/>
          <w:position w:val="2"/>
          <w:sz w:val="24"/>
        </w:rPr>
        <w:t>m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  <w:t>(7)</w:t>
      </w:r>
    </w:p>
    <w:p w:rsidR="00FD79C6" w:rsidRDefault="00FD79C6">
      <w:pPr>
        <w:rPr>
          <w:sz w:val="24"/>
        </w:rPr>
        <w:sectPr w:rsidR="00FD79C6">
          <w:type w:val="continuous"/>
          <w:pgSz w:w="11910" w:h="16840"/>
          <w:pgMar w:top="1580" w:right="1680" w:bottom="960" w:left="960" w:header="708" w:footer="708" w:gutter="0"/>
          <w:cols w:space="708"/>
        </w:sectPr>
      </w:pPr>
    </w:p>
    <w:p w:rsidR="00FD79C6" w:rsidRDefault="00BF73AA">
      <w:pPr>
        <w:pStyle w:val="Tekstpodstawowy"/>
        <w:spacing w:before="73" w:line="360" w:lineRule="auto"/>
        <w:ind w:left="172" w:right="302" w:firstLine="358"/>
        <w:jc w:val="both"/>
      </w:pPr>
      <w:r>
        <w:rPr>
          <w:position w:val="2"/>
        </w:rPr>
        <w:lastRenderedPageBreak/>
        <w:t xml:space="preserve">Przedstawione wyżej rozumowanie prowadzi do wniosku, że jeżeli </w:t>
      </w:r>
      <w:r>
        <w:rPr>
          <w:i/>
          <w:position w:val="2"/>
        </w:rPr>
        <w:t>t</w:t>
      </w:r>
      <w:r>
        <w:rPr>
          <w:sz w:val="16"/>
        </w:rPr>
        <w:t xml:space="preserve">1 </w:t>
      </w:r>
      <w:r>
        <w:rPr>
          <w:position w:val="2"/>
        </w:rPr>
        <w:t xml:space="preserve">&gt; </w:t>
      </w:r>
      <w:r>
        <w:rPr>
          <w:i/>
          <w:position w:val="2"/>
        </w:rPr>
        <w:t>t</w:t>
      </w:r>
      <w:r>
        <w:rPr>
          <w:sz w:val="16"/>
        </w:rPr>
        <w:t xml:space="preserve">2 </w:t>
      </w:r>
      <w:r>
        <w:t xml:space="preserve">(opodatkowanie w kraju pierwszym jest wyższe niż w kraju drugim), wyrażenie (7) przyjmuje wartości ujemne – wzrost ceny transferowej </w:t>
      </w:r>
      <w:r>
        <w:rPr>
          <w:i/>
        </w:rPr>
        <w:t xml:space="preserve">p </w:t>
      </w:r>
      <w:r>
        <w:t xml:space="preserve">będzie prowadzić do spadku globalnego dochodu po opodatkowaniu </w:t>
      </w:r>
      <w:r>
        <w:rPr>
          <w:i/>
        </w:rPr>
        <w:t>Π</w:t>
      </w:r>
      <w:r>
        <w:t xml:space="preserve">. Jednocześnie obniżanie ceny transferowej </w:t>
      </w:r>
      <w:r>
        <w:rPr>
          <w:i/>
        </w:rPr>
        <w:t xml:space="preserve">p </w:t>
      </w:r>
      <w:r>
        <w:t xml:space="preserve">będzie w tym przypadku powodować wzrost tego dochodu. </w:t>
      </w:r>
      <w:proofErr w:type="spellStart"/>
      <w:r>
        <w:t>Xxxxxxxxx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</w:t>
      </w:r>
      <w:proofErr w:type="spellEnd"/>
      <w:r>
        <w:t xml:space="preserve"> zapewnienia transferu części dochodu do przedsiębiorstwa w tym kraju </w:t>
      </w:r>
      <w:r>
        <w:rPr>
          <w:color w:val="FF0000"/>
        </w:rPr>
        <w:t>(Ustawa z dnia 15 lutego 1992)</w:t>
      </w:r>
      <w:r>
        <w:t xml:space="preserve">. Analogicznie,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xx drugiego będą występowały w </w:t>
      </w:r>
      <w:r>
        <w:rPr>
          <w:position w:val="2"/>
        </w:rPr>
        <w:t xml:space="preserve">sytuacji, gdy </w:t>
      </w:r>
      <w:r>
        <w:rPr>
          <w:i/>
          <w:position w:val="2"/>
        </w:rPr>
        <w:t>t</w:t>
      </w:r>
      <w:r>
        <w:rPr>
          <w:sz w:val="16"/>
        </w:rPr>
        <w:t xml:space="preserve">1 </w:t>
      </w:r>
      <w:r>
        <w:rPr>
          <w:position w:val="2"/>
        </w:rPr>
        <w:t xml:space="preserve">&lt; </w:t>
      </w:r>
      <w:r>
        <w:rPr>
          <w:i/>
          <w:position w:val="2"/>
        </w:rPr>
        <w:t>t</w:t>
      </w:r>
      <w:r>
        <w:rPr>
          <w:sz w:val="16"/>
        </w:rPr>
        <w:t>2</w:t>
      </w:r>
      <w:r>
        <w:rPr>
          <w:position w:val="2"/>
        </w:rPr>
        <w:t xml:space="preserve">, ponieważ w takich warunkach wyrażenie (7) przyjmuje wartość </w:t>
      </w:r>
      <w:r>
        <w:t xml:space="preserve">dodatnią, a nie ujemną a więc wzrost </w:t>
      </w:r>
      <w:r>
        <w:rPr>
          <w:i/>
        </w:rPr>
        <w:t xml:space="preserve">p </w:t>
      </w:r>
      <w:r>
        <w:t>wpływa pozytywnie na wzrost</w:t>
      </w:r>
      <w:r>
        <w:rPr>
          <w:spacing w:val="-4"/>
        </w:rPr>
        <w:t xml:space="preserve"> </w:t>
      </w:r>
      <w:r>
        <w:rPr>
          <w:i/>
        </w:rPr>
        <w:t>Π</w:t>
      </w:r>
      <w:r>
        <w:t>.</w:t>
      </w:r>
    </w:p>
    <w:p w:rsidR="00FD79C6" w:rsidRDefault="00FD79C6">
      <w:pPr>
        <w:pStyle w:val="Tekstpodstawowy"/>
        <w:spacing w:before="2"/>
        <w:rPr>
          <w:sz w:val="36"/>
        </w:rPr>
      </w:pPr>
    </w:p>
    <w:p w:rsidR="00FD79C6" w:rsidRDefault="00BF73AA">
      <w:pPr>
        <w:spacing w:line="360" w:lineRule="auto"/>
        <w:ind w:left="172" w:right="465"/>
        <w:rPr>
          <w:b/>
          <w:sz w:val="24"/>
        </w:rPr>
      </w:pPr>
      <w:r>
        <w:rPr>
          <w:b/>
          <w:sz w:val="24"/>
        </w:rPr>
        <w:t>Tabela 1. Ocena istotności strategii logistycznych realizowanych w ramach łańcucha dostaw (w %)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9"/>
        <w:gridCol w:w="566"/>
        <w:gridCol w:w="569"/>
        <w:gridCol w:w="566"/>
        <w:gridCol w:w="566"/>
        <w:gridCol w:w="566"/>
      </w:tblGrid>
      <w:tr w:rsidR="00FD79C6">
        <w:trPr>
          <w:trHeight w:val="350"/>
        </w:trPr>
        <w:tc>
          <w:tcPr>
            <w:tcW w:w="4309" w:type="dxa"/>
          </w:tcPr>
          <w:p w:rsidR="00FD79C6" w:rsidRDefault="00BF73AA">
            <w:pPr>
              <w:pStyle w:val="TableParagraph"/>
              <w:spacing w:before="41"/>
              <w:ind w:left="1744" w:right="1737"/>
              <w:rPr>
                <w:b/>
                <w:sz w:val="20"/>
              </w:rPr>
            </w:pPr>
            <w:r>
              <w:rPr>
                <w:b/>
                <w:sz w:val="20"/>
              </w:rPr>
              <w:t>Strategia</w:t>
            </w:r>
          </w:p>
        </w:tc>
        <w:tc>
          <w:tcPr>
            <w:tcW w:w="566" w:type="dxa"/>
          </w:tcPr>
          <w:p w:rsidR="00FD79C6" w:rsidRDefault="00BF73AA">
            <w:pPr>
              <w:pStyle w:val="TableParagraph"/>
              <w:spacing w:before="60"/>
              <w:ind w:right="21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569" w:type="dxa"/>
          </w:tcPr>
          <w:p w:rsidR="00FD79C6" w:rsidRDefault="00BF73AA">
            <w:pPr>
              <w:pStyle w:val="TableParagraph"/>
              <w:spacing w:before="41"/>
              <w:ind w:left="1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FD79C6" w:rsidRDefault="00BF73AA">
            <w:pPr>
              <w:pStyle w:val="TableParagraph"/>
              <w:spacing w:before="41"/>
              <w:ind w:right="22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FD79C6" w:rsidRDefault="00BF73AA">
            <w:pPr>
              <w:pStyle w:val="TableParagraph"/>
              <w:spacing w:before="41"/>
              <w:ind w:left="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566" w:type="dxa"/>
          </w:tcPr>
          <w:p w:rsidR="00FD79C6" w:rsidRDefault="00BF73AA">
            <w:pPr>
              <w:pStyle w:val="TableParagraph"/>
              <w:spacing w:before="41"/>
              <w:ind w:left="1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</w:tr>
      <w:tr w:rsidR="00FD79C6">
        <w:trPr>
          <w:trHeight w:val="308"/>
        </w:trPr>
        <w:tc>
          <w:tcPr>
            <w:tcW w:w="4309" w:type="dxa"/>
            <w:tcBorders>
              <w:bottom w:val="nil"/>
            </w:tcBorders>
          </w:tcPr>
          <w:p w:rsidR="00FD79C6" w:rsidRDefault="00BF73AA">
            <w:pPr>
              <w:pStyle w:val="TableParagraph"/>
              <w:spacing w:before="34"/>
              <w:ind w:left="55"/>
              <w:jc w:val="left"/>
              <w:rPr>
                <w:sz w:val="20"/>
              </w:rPr>
            </w:pPr>
            <w:r>
              <w:rPr>
                <w:sz w:val="20"/>
              </w:rPr>
              <w:t>Zorientowana na czas</w:t>
            </w:r>
          </w:p>
        </w:tc>
        <w:tc>
          <w:tcPr>
            <w:tcW w:w="566" w:type="dxa"/>
            <w:tcBorders>
              <w:bottom w:val="nil"/>
            </w:tcBorders>
          </w:tcPr>
          <w:p w:rsidR="00FD79C6" w:rsidRDefault="00BF73AA">
            <w:pPr>
              <w:pStyle w:val="TableParagraph"/>
              <w:spacing w:before="34"/>
              <w:ind w:right="158"/>
              <w:jc w:val="right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569" w:type="dxa"/>
            <w:tcBorders>
              <w:bottom w:val="nil"/>
            </w:tcBorders>
          </w:tcPr>
          <w:p w:rsidR="00FD79C6" w:rsidRDefault="00BF73AA">
            <w:pPr>
              <w:pStyle w:val="TableParagraph"/>
              <w:spacing w:before="34"/>
              <w:ind w:left="166" w:right="153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566" w:type="dxa"/>
            <w:tcBorders>
              <w:bottom w:val="nil"/>
            </w:tcBorders>
          </w:tcPr>
          <w:p w:rsidR="00FD79C6" w:rsidRDefault="00BF73AA">
            <w:pPr>
              <w:pStyle w:val="TableParagraph"/>
              <w:spacing w:before="34"/>
              <w:ind w:right="16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6" w:type="dxa"/>
            <w:tcBorders>
              <w:bottom w:val="nil"/>
            </w:tcBorders>
          </w:tcPr>
          <w:p w:rsidR="00FD79C6" w:rsidRDefault="00BF73AA">
            <w:pPr>
              <w:pStyle w:val="TableParagraph"/>
              <w:spacing w:before="34"/>
              <w:ind w:left="176" w:right="14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6" w:type="dxa"/>
            <w:tcBorders>
              <w:bottom w:val="nil"/>
            </w:tcBorders>
          </w:tcPr>
          <w:p w:rsidR="00FD79C6" w:rsidRDefault="00BF73AA">
            <w:pPr>
              <w:pStyle w:val="TableParagraph"/>
              <w:spacing w:before="34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FD79C6">
        <w:trPr>
          <w:trHeight w:val="309"/>
        </w:trPr>
        <w:tc>
          <w:tcPr>
            <w:tcW w:w="4309" w:type="dxa"/>
            <w:tcBorders>
              <w:top w:val="nil"/>
              <w:bottom w:val="nil"/>
            </w:tcBorders>
          </w:tcPr>
          <w:p w:rsidR="00FD79C6" w:rsidRDefault="00BF73AA">
            <w:pPr>
              <w:pStyle w:val="TableParagraph"/>
              <w:ind w:left="55"/>
              <w:jc w:val="left"/>
              <w:rPr>
                <w:sz w:val="20"/>
              </w:rPr>
            </w:pPr>
            <w:r>
              <w:rPr>
                <w:sz w:val="20"/>
              </w:rPr>
              <w:t xml:space="preserve">Zwiększania </w:t>
            </w:r>
            <w:proofErr w:type="spellStart"/>
            <w:r>
              <w:rPr>
                <w:sz w:val="20"/>
              </w:rPr>
              <w:t>xxxxxxxxxx</w:t>
            </w:r>
            <w:proofErr w:type="spellEnd"/>
            <w:r>
              <w:rPr>
                <w:sz w:val="20"/>
              </w:rPr>
              <w:t xml:space="preserve"> aktywów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FD79C6" w:rsidRDefault="00BF73AA">
            <w:pPr>
              <w:pStyle w:val="TableParagraph"/>
              <w:ind w:right="158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FD79C6" w:rsidRDefault="00BF73AA">
            <w:pPr>
              <w:pStyle w:val="TableParagraph"/>
              <w:ind w:left="166" w:right="153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FD79C6" w:rsidRDefault="00BF73AA">
            <w:pPr>
              <w:pStyle w:val="TableParagraph"/>
              <w:ind w:right="161"/>
              <w:jc w:val="right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FD79C6" w:rsidRDefault="00BF73AA">
            <w:pPr>
              <w:pStyle w:val="TableParagraph"/>
              <w:ind w:left="176" w:right="14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FD79C6" w:rsidRDefault="00BF73AA"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FD79C6">
        <w:trPr>
          <w:trHeight w:val="309"/>
        </w:trPr>
        <w:tc>
          <w:tcPr>
            <w:tcW w:w="4309" w:type="dxa"/>
            <w:tcBorders>
              <w:top w:val="nil"/>
              <w:bottom w:val="nil"/>
            </w:tcBorders>
          </w:tcPr>
          <w:p w:rsidR="00FD79C6" w:rsidRDefault="00BF73AA">
            <w:pPr>
              <w:pStyle w:val="TableParagraph"/>
              <w:ind w:left="55"/>
              <w:jc w:val="left"/>
              <w:rPr>
                <w:sz w:val="20"/>
              </w:rPr>
            </w:pPr>
            <w:r>
              <w:rPr>
                <w:sz w:val="20"/>
              </w:rPr>
              <w:t>Outsourcingu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FD79C6" w:rsidRDefault="00BF73AA">
            <w:pPr>
              <w:pStyle w:val="TableParagraph"/>
              <w:ind w:right="158"/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FD79C6" w:rsidRDefault="00BF73AA">
            <w:pPr>
              <w:pStyle w:val="TableParagraph"/>
              <w:ind w:left="166" w:right="153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FD79C6" w:rsidRDefault="00BF73AA">
            <w:pPr>
              <w:pStyle w:val="TableParagraph"/>
              <w:ind w:right="16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FD79C6" w:rsidRDefault="00BF73AA">
            <w:pPr>
              <w:pStyle w:val="TableParagraph"/>
              <w:ind w:left="13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FD79C6" w:rsidRDefault="00BF73AA"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FD79C6">
        <w:trPr>
          <w:trHeight w:val="309"/>
        </w:trPr>
        <w:tc>
          <w:tcPr>
            <w:tcW w:w="4309" w:type="dxa"/>
            <w:tcBorders>
              <w:top w:val="nil"/>
              <w:bottom w:val="nil"/>
            </w:tcBorders>
          </w:tcPr>
          <w:p w:rsidR="00FD79C6" w:rsidRDefault="00BF73AA">
            <w:pPr>
              <w:pStyle w:val="TableParagraph"/>
              <w:ind w:left="55"/>
              <w:jc w:val="left"/>
              <w:rPr>
                <w:sz w:val="20"/>
              </w:rPr>
            </w:pPr>
            <w:r>
              <w:rPr>
                <w:sz w:val="20"/>
              </w:rPr>
              <w:t>Dodawania wartości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FD79C6" w:rsidRDefault="00BF73AA">
            <w:pPr>
              <w:pStyle w:val="TableParagraph"/>
              <w:ind w:right="16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FD79C6" w:rsidRDefault="00BF73AA">
            <w:pPr>
              <w:pStyle w:val="TableParagraph"/>
              <w:ind w:left="166" w:right="153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FD79C6" w:rsidRDefault="00BF73AA">
            <w:pPr>
              <w:pStyle w:val="TableParagraph"/>
              <w:ind w:right="161"/>
              <w:jc w:val="right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FD79C6" w:rsidRDefault="00BF73AA">
            <w:pPr>
              <w:pStyle w:val="TableParagraph"/>
              <w:ind w:left="176" w:right="14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FD79C6" w:rsidRDefault="00BF73AA"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FD79C6">
        <w:trPr>
          <w:trHeight w:val="313"/>
        </w:trPr>
        <w:tc>
          <w:tcPr>
            <w:tcW w:w="4309" w:type="dxa"/>
            <w:tcBorders>
              <w:top w:val="nil"/>
            </w:tcBorders>
          </w:tcPr>
          <w:p w:rsidR="00FD79C6" w:rsidRDefault="00BF73AA">
            <w:pPr>
              <w:pStyle w:val="TableParagraph"/>
              <w:ind w:left="55"/>
              <w:jc w:val="left"/>
              <w:rPr>
                <w:i/>
                <w:sz w:val="20"/>
              </w:rPr>
            </w:pPr>
            <w:r>
              <w:rPr>
                <w:sz w:val="20"/>
              </w:rPr>
              <w:t xml:space="preserve">Przejścia od </w:t>
            </w:r>
            <w:proofErr w:type="spellStart"/>
            <w:r>
              <w:rPr>
                <w:sz w:val="20"/>
              </w:rPr>
              <w:t>xxxx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xxxxxx</w:t>
            </w:r>
            <w:proofErr w:type="spellEnd"/>
            <w:r>
              <w:rPr>
                <w:sz w:val="20"/>
              </w:rPr>
              <w:t xml:space="preserve"> do systemu </w:t>
            </w:r>
            <w:proofErr w:type="spellStart"/>
            <w:r>
              <w:rPr>
                <w:i/>
                <w:sz w:val="20"/>
              </w:rPr>
              <w:t>pull</w:t>
            </w:r>
            <w:proofErr w:type="spellEnd"/>
          </w:p>
        </w:tc>
        <w:tc>
          <w:tcPr>
            <w:tcW w:w="566" w:type="dxa"/>
            <w:tcBorders>
              <w:top w:val="nil"/>
            </w:tcBorders>
          </w:tcPr>
          <w:p w:rsidR="00FD79C6" w:rsidRDefault="00BF73AA">
            <w:pPr>
              <w:pStyle w:val="TableParagraph"/>
              <w:ind w:right="158"/>
              <w:jc w:val="right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569" w:type="dxa"/>
            <w:tcBorders>
              <w:top w:val="nil"/>
            </w:tcBorders>
          </w:tcPr>
          <w:p w:rsidR="00FD79C6" w:rsidRDefault="00BF73AA">
            <w:pPr>
              <w:pStyle w:val="TableParagraph"/>
              <w:ind w:left="166" w:right="153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566" w:type="dxa"/>
            <w:tcBorders>
              <w:top w:val="nil"/>
            </w:tcBorders>
          </w:tcPr>
          <w:p w:rsidR="00FD79C6" w:rsidRDefault="00BF73AA">
            <w:pPr>
              <w:pStyle w:val="TableParagraph"/>
              <w:ind w:right="161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66" w:type="dxa"/>
            <w:tcBorders>
              <w:top w:val="nil"/>
            </w:tcBorders>
          </w:tcPr>
          <w:p w:rsidR="00FD79C6" w:rsidRDefault="00BF73AA">
            <w:pPr>
              <w:pStyle w:val="TableParagraph"/>
              <w:ind w:left="13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6" w:type="dxa"/>
            <w:tcBorders>
              <w:top w:val="nil"/>
            </w:tcBorders>
          </w:tcPr>
          <w:p w:rsidR="00FD79C6" w:rsidRDefault="00BF73AA"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</w:tr>
    </w:tbl>
    <w:p w:rsidR="00FD79C6" w:rsidRDefault="00BF73AA">
      <w:pPr>
        <w:spacing w:line="360" w:lineRule="auto"/>
        <w:ind w:left="172" w:right="4875"/>
        <w:rPr>
          <w:sz w:val="20"/>
        </w:rPr>
      </w:pPr>
      <w:r>
        <w:rPr>
          <w:sz w:val="20"/>
        </w:rPr>
        <w:t>Objaśnienia: skala 5 = bardzo istotna, 1 = nieistotna. Źródło: na podstawie badań ankietowych.</w:t>
      </w:r>
    </w:p>
    <w:p w:rsidR="00FD79C6" w:rsidRDefault="00FD79C6">
      <w:pPr>
        <w:pStyle w:val="Tekstpodstawowy"/>
        <w:rPr>
          <w:sz w:val="22"/>
        </w:rPr>
      </w:pPr>
    </w:p>
    <w:p w:rsidR="00FD79C6" w:rsidRDefault="00BF73AA">
      <w:pPr>
        <w:pStyle w:val="Tekstpodstawowy"/>
        <w:spacing w:before="159" w:line="360" w:lineRule="auto"/>
        <w:ind w:left="172" w:right="304" w:firstLine="358"/>
        <w:jc w:val="both"/>
      </w:pPr>
      <w:r>
        <w:t xml:space="preserve">Drugim ważnym wnioskiem płynącym z powyższych rozważań jest ustalenie, że o skali korzyści </w:t>
      </w:r>
      <w:proofErr w:type="spellStart"/>
      <w:r>
        <w:t>xxxxxxx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cen transferowych będzie decydowała </w:t>
      </w:r>
      <w:proofErr w:type="spellStart"/>
      <w:r>
        <w:rPr>
          <w:i/>
        </w:rPr>
        <w:t>ceteris</w:t>
      </w:r>
      <w:proofErr w:type="spellEnd"/>
      <w:r>
        <w:rPr>
          <w:i/>
        </w:rPr>
        <w:t xml:space="preserve"> paribus </w:t>
      </w:r>
      <w:r>
        <w:t xml:space="preserve">wysokość wytransferowanego zysku. Im większa zatem różnica pomiędzy ceną rynkową a ceną transferową, </w:t>
      </w:r>
      <w:proofErr w:type="spellStart"/>
      <w:r>
        <w:t>xxxx</w:t>
      </w:r>
      <w:proofErr w:type="spellEnd"/>
      <w:r>
        <w:t xml:space="preserve"> </w:t>
      </w:r>
      <w:proofErr w:type="spellStart"/>
      <w:r>
        <w:t>xxxxxxx</w:t>
      </w:r>
      <w:proofErr w:type="spellEnd"/>
      <w:r>
        <w:t xml:space="preserve"> przedsiębiorstwo, tym większa korzyść podatkowa zrealizowana globalnie przez korporację </w:t>
      </w:r>
      <w:r>
        <w:rPr>
          <w:color w:val="FF0000"/>
        </w:rPr>
        <w:t>(</w:t>
      </w:r>
      <w:proofErr w:type="spellStart"/>
      <w:r>
        <w:rPr>
          <w:color w:val="FF0000"/>
        </w:rPr>
        <w:t>O’Shaughnessy</w:t>
      </w:r>
      <w:proofErr w:type="spellEnd"/>
      <w:r>
        <w:rPr>
          <w:color w:val="FF0000"/>
        </w:rPr>
        <w:t xml:space="preserve">, Banach, </w:t>
      </w:r>
      <w:proofErr w:type="spellStart"/>
      <w:r>
        <w:rPr>
          <w:color w:val="FF0000"/>
        </w:rPr>
        <w:t>Lebda</w:t>
      </w:r>
      <w:proofErr w:type="spellEnd"/>
      <w:r>
        <w:rPr>
          <w:color w:val="FF0000"/>
        </w:rPr>
        <w:t>, Reszka, Szydłowska i Wiewiórka,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2003)</w:t>
      </w:r>
      <w:r>
        <w:t>.</w:t>
      </w:r>
    </w:p>
    <w:p w:rsidR="00FD79C6" w:rsidRDefault="00BF73AA">
      <w:pPr>
        <w:pStyle w:val="Tekstpodstawowy"/>
        <w:spacing w:before="1" w:line="360" w:lineRule="auto"/>
        <w:ind w:left="172" w:right="305" w:firstLine="358"/>
        <w:jc w:val="both"/>
      </w:pPr>
      <w:r>
        <w:t xml:space="preserve">Jak intuicyjnie można jednak przewidzieć, możliwość kształtowania cen transferowych na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</w:t>
      </w:r>
      <w:proofErr w:type="spellEnd"/>
      <w:r>
        <w:t xml:space="preserve"> nie jest nieograniczona. Głównym czynnikiem ograniczającym możliwości swobodnego stosowania cen transferowych są działania organów podatkowych. Elementem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uwzględnienia staje się w tym wypadku możliwość nałożenia na przedsiębiorstwo stosujące ceny transferowe stosownej kary. Istotne jest, że prawdopodobieństwo to rośnie wraz ze wzrostem różnicy </w:t>
      </w:r>
      <w:proofErr w:type="spellStart"/>
      <w:r>
        <w:t>xxxxxxx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ceny transferowej a ceną</w:t>
      </w:r>
      <w:r>
        <w:rPr>
          <w:spacing w:val="-5"/>
        </w:rPr>
        <w:t xml:space="preserve"> </w:t>
      </w:r>
      <w:r>
        <w:t>rynkową.</w:t>
      </w:r>
    </w:p>
    <w:p w:rsidR="00FD79C6" w:rsidRDefault="00FD79C6">
      <w:pPr>
        <w:spacing w:line="360" w:lineRule="auto"/>
        <w:jc w:val="both"/>
        <w:sectPr w:rsidR="00FD79C6">
          <w:pgSz w:w="11910" w:h="16840"/>
          <w:pgMar w:top="1320" w:right="1680" w:bottom="960" w:left="960" w:header="0" w:footer="777" w:gutter="0"/>
          <w:cols w:space="708"/>
        </w:sectPr>
      </w:pPr>
    </w:p>
    <w:p w:rsidR="00FD79C6" w:rsidRDefault="00FD79C6">
      <w:pPr>
        <w:pStyle w:val="Tekstpodstawowy"/>
        <w:spacing w:before="4"/>
        <w:rPr>
          <w:sz w:val="12"/>
        </w:rPr>
      </w:pPr>
    </w:p>
    <w:p w:rsidR="00FD79C6" w:rsidRDefault="00BF73AA">
      <w:pPr>
        <w:pStyle w:val="Nagwek1"/>
      </w:pPr>
      <w:r>
        <w:t>Bibliografia</w:t>
      </w:r>
    </w:p>
    <w:p w:rsidR="00FD79C6" w:rsidRDefault="00BF73AA">
      <w:pPr>
        <w:spacing w:before="159" w:line="360" w:lineRule="auto"/>
        <w:ind w:left="473" w:right="858" w:hanging="301"/>
        <w:rPr>
          <w:sz w:val="24"/>
        </w:rPr>
      </w:pPr>
      <w:r>
        <w:rPr>
          <w:sz w:val="24"/>
        </w:rPr>
        <w:t xml:space="preserve">Dereń, A. M. (1998). </w:t>
      </w:r>
      <w:r>
        <w:rPr>
          <w:i/>
          <w:sz w:val="24"/>
        </w:rPr>
        <w:t xml:space="preserve">Przerzucanie dochodów. Transfer </w:t>
      </w:r>
      <w:proofErr w:type="spellStart"/>
      <w:r>
        <w:rPr>
          <w:i/>
          <w:sz w:val="24"/>
        </w:rPr>
        <w:t>pricing</w:t>
      </w:r>
      <w:proofErr w:type="spellEnd"/>
      <w:r>
        <w:rPr>
          <w:sz w:val="24"/>
        </w:rPr>
        <w:t>. Bydgoszcz: Oficyna Wydawnicza Ośrodka Postępu Organizacyjnego.</w:t>
      </w:r>
    </w:p>
    <w:p w:rsidR="00FD79C6" w:rsidRDefault="00BF73AA">
      <w:pPr>
        <w:spacing w:line="360" w:lineRule="auto"/>
        <w:ind w:left="473" w:hanging="301"/>
        <w:rPr>
          <w:sz w:val="24"/>
        </w:rPr>
      </w:pPr>
      <w:r>
        <w:rPr>
          <w:sz w:val="24"/>
        </w:rPr>
        <w:t xml:space="preserve">Jorgenson, D. W. i </w:t>
      </w:r>
      <w:proofErr w:type="spellStart"/>
      <w:r>
        <w:rPr>
          <w:sz w:val="24"/>
        </w:rPr>
        <w:t>Griliches</w:t>
      </w:r>
      <w:proofErr w:type="spellEnd"/>
      <w:r>
        <w:rPr>
          <w:sz w:val="24"/>
        </w:rPr>
        <w:t xml:space="preserve">, Z. (1972). The </w:t>
      </w:r>
      <w:proofErr w:type="spellStart"/>
      <w:r>
        <w:rPr>
          <w:sz w:val="24"/>
        </w:rPr>
        <w:t>explanation</w:t>
      </w:r>
      <w:proofErr w:type="spellEnd"/>
      <w:r>
        <w:rPr>
          <w:sz w:val="24"/>
        </w:rPr>
        <w:t xml:space="preserve"> of </w:t>
      </w:r>
      <w:proofErr w:type="spellStart"/>
      <w:r>
        <w:rPr>
          <w:sz w:val="24"/>
        </w:rPr>
        <w:t>productivity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change</w:t>
      </w:r>
      <w:proofErr w:type="spellEnd"/>
      <w:r>
        <w:rPr>
          <w:sz w:val="24"/>
        </w:rPr>
        <w:t xml:space="preserve">. </w:t>
      </w:r>
      <w:proofErr w:type="spellStart"/>
      <w:r>
        <w:rPr>
          <w:i/>
          <w:sz w:val="24"/>
        </w:rPr>
        <w:t>Survey</w:t>
      </w:r>
      <w:proofErr w:type="spellEnd"/>
      <w:r>
        <w:rPr>
          <w:i/>
          <w:sz w:val="24"/>
        </w:rPr>
        <w:t xml:space="preserve"> of </w:t>
      </w:r>
      <w:proofErr w:type="spellStart"/>
      <w:r>
        <w:rPr>
          <w:i/>
          <w:sz w:val="24"/>
        </w:rPr>
        <w:t>Current</w:t>
      </w:r>
      <w:proofErr w:type="spellEnd"/>
      <w:r>
        <w:rPr>
          <w:i/>
          <w:sz w:val="24"/>
        </w:rPr>
        <w:t xml:space="preserve"> Business</w:t>
      </w:r>
      <w:r>
        <w:rPr>
          <w:sz w:val="24"/>
        </w:rPr>
        <w:t xml:space="preserve">, </w:t>
      </w:r>
      <w:r>
        <w:rPr>
          <w:i/>
          <w:sz w:val="24"/>
        </w:rPr>
        <w:t>52</w:t>
      </w:r>
      <w:r>
        <w:rPr>
          <w:sz w:val="24"/>
        </w:rPr>
        <w:t>(5), 7-11.</w:t>
      </w:r>
    </w:p>
    <w:p w:rsidR="00FD79C6" w:rsidRDefault="00BF73AA">
      <w:pPr>
        <w:spacing w:line="360" w:lineRule="auto"/>
        <w:ind w:left="456" w:right="858" w:hanging="284"/>
        <w:rPr>
          <w:sz w:val="24"/>
        </w:rPr>
      </w:pPr>
      <w:proofErr w:type="spellStart"/>
      <w:r>
        <w:rPr>
          <w:sz w:val="24"/>
        </w:rPr>
        <w:t>Kabalski</w:t>
      </w:r>
      <w:proofErr w:type="spellEnd"/>
      <w:r>
        <w:rPr>
          <w:sz w:val="24"/>
        </w:rPr>
        <w:t xml:space="preserve">, P. (2001). </w:t>
      </w:r>
      <w:r>
        <w:rPr>
          <w:i/>
          <w:sz w:val="24"/>
        </w:rPr>
        <w:t xml:space="preserve">Rachunkowość w zarządzaniu cenami transferowym. </w:t>
      </w:r>
      <w:r>
        <w:rPr>
          <w:sz w:val="24"/>
        </w:rPr>
        <w:t>Gdańsk: Ośrodek Doradztwa i Doskonalenia</w:t>
      </w:r>
      <w:r>
        <w:rPr>
          <w:spacing w:val="-3"/>
          <w:sz w:val="24"/>
        </w:rPr>
        <w:t xml:space="preserve"> </w:t>
      </w:r>
      <w:r>
        <w:rPr>
          <w:sz w:val="24"/>
        </w:rPr>
        <w:t>Kadr.</w:t>
      </w:r>
    </w:p>
    <w:p w:rsidR="00FD79C6" w:rsidRDefault="00BF73AA">
      <w:pPr>
        <w:spacing w:line="360" w:lineRule="auto"/>
        <w:ind w:left="456" w:hanging="284"/>
        <w:rPr>
          <w:sz w:val="24"/>
        </w:rPr>
      </w:pPr>
      <w:r>
        <w:rPr>
          <w:sz w:val="24"/>
        </w:rPr>
        <w:t xml:space="preserve">Michalak, S., Krzewski, M., i Maliszewski, C. (1997). </w:t>
      </w:r>
      <w:r>
        <w:rPr>
          <w:i/>
          <w:sz w:val="24"/>
        </w:rPr>
        <w:t xml:space="preserve">Transfer </w:t>
      </w:r>
      <w:proofErr w:type="spellStart"/>
      <w:r>
        <w:rPr>
          <w:i/>
          <w:sz w:val="24"/>
        </w:rPr>
        <w:t>pricing</w:t>
      </w:r>
      <w:proofErr w:type="spellEnd"/>
      <w:r>
        <w:rPr>
          <w:i/>
          <w:sz w:val="24"/>
        </w:rPr>
        <w:t>. Przerzucanie dochodów, metody kontroli, konsekwencje podatkowe</w:t>
      </w:r>
      <w:r>
        <w:rPr>
          <w:sz w:val="24"/>
        </w:rPr>
        <w:t xml:space="preserve">. Warszawa: </w:t>
      </w:r>
      <w:proofErr w:type="spellStart"/>
      <w:r>
        <w:rPr>
          <w:sz w:val="24"/>
        </w:rPr>
        <w:t>Difin</w:t>
      </w:r>
      <w:proofErr w:type="spellEnd"/>
      <w:r>
        <w:rPr>
          <w:sz w:val="24"/>
        </w:rPr>
        <w:t>.</w:t>
      </w:r>
    </w:p>
    <w:p w:rsidR="00FD79C6" w:rsidRDefault="00BF73AA">
      <w:pPr>
        <w:ind w:left="172"/>
        <w:rPr>
          <w:sz w:val="24"/>
        </w:rPr>
      </w:pPr>
      <w:r>
        <w:rPr>
          <w:i/>
          <w:sz w:val="24"/>
        </w:rPr>
        <w:t xml:space="preserve">Międzynarodowy słownik podatkowy. </w:t>
      </w:r>
      <w:r>
        <w:rPr>
          <w:sz w:val="24"/>
        </w:rPr>
        <w:t>(1997). Warszawa: PWE.</w:t>
      </w:r>
    </w:p>
    <w:p w:rsidR="00FD79C6" w:rsidRDefault="00BF73AA">
      <w:pPr>
        <w:spacing w:before="138" w:line="360" w:lineRule="auto"/>
        <w:ind w:left="172"/>
        <w:rPr>
          <w:sz w:val="24"/>
        </w:rPr>
      </w:pPr>
      <w:r>
        <w:rPr>
          <w:sz w:val="24"/>
        </w:rPr>
        <w:t xml:space="preserve">Najlepszy, E. (1993). </w:t>
      </w:r>
      <w:r>
        <w:rPr>
          <w:i/>
          <w:sz w:val="24"/>
        </w:rPr>
        <w:t xml:space="preserve">Międzynarodowe finanse przedsiębiorstw. </w:t>
      </w:r>
      <w:r>
        <w:rPr>
          <w:sz w:val="24"/>
        </w:rPr>
        <w:t xml:space="preserve">Poznań: </w:t>
      </w:r>
      <w:proofErr w:type="spellStart"/>
      <w:r>
        <w:rPr>
          <w:sz w:val="24"/>
        </w:rPr>
        <w:t>Bafina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O’Shaughnessy</w:t>
      </w:r>
      <w:proofErr w:type="spellEnd"/>
      <w:r>
        <w:rPr>
          <w:sz w:val="24"/>
        </w:rPr>
        <w:t xml:space="preserve">, M., Banach, J., </w:t>
      </w:r>
      <w:proofErr w:type="spellStart"/>
      <w:r>
        <w:rPr>
          <w:sz w:val="24"/>
        </w:rPr>
        <w:t>Lebda</w:t>
      </w:r>
      <w:proofErr w:type="spellEnd"/>
      <w:r>
        <w:rPr>
          <w:sz w:val="24"/>
        </w:rPr>
        <w:t>, S., Reszka, A., Szydłowska, K. i Wiewiórka, P.</w:t>
      </w:r>
    </w:p>
    <w:p w:rsidR="00FD79C6" w:rsidRDefault="00BF73AA">
      <w:pPr>
        <w:ind w:left="456"/>
        <w:rPr>
          <w:sz w:val="24"/>
        </w:rPr>
      </w:pPr>
      <w:r>
        <w:rPr>
          <w:sz w:val="24"/>
        </w:rPr>
        <w:t xml:space="preserve">(2003). </w:t>
      </w:r>
      <w:r>
        <w:rPr>
          <w:i/>
          <w:sz w:val="24"/>
        </w:rPr>
        <w:t xml:space="preserve">Ceny transferowe. </w:t>
      </w:r>
      <w:r>
        <w:rPr>
          <w:sz w:val="24"/>
        </w:rPr>
        <w:t>Warszawa: Wydawnictwo C.H. Beck.</w:t>
      </w:r>
    </w:p>
    <w:p w:rsidR="00FD79C6" w:rsidRDefault="00BF73AA">
      <w:pPr>
        <w:spacing w:before="137" w:line="360" w:lineRule="auto"/>
        <w:ind w:left="456" w:right="858" w:hanging="284"/>
        <w:rPr>
          <w:sz w:val="24"/>
        </w:rPr>
      </w:pPr>
      <w:r>
        <w:rPr>
          <w:sz w:val="24"/>
        </w:rPr>
        <w:t xml:space="preserve">OECD. (1997). </w:t>
      </w:r>
      <w:r>
        <w:rPr>
          <w:i/>
          <w:sz w:val="24"/>
        </w:rPr>
        <w:t xml:space="preserve">Transfer </w:t>
      </w:r>
      <w:proofErr w:type="spellStart"/>
      <w:r>
        <w:rPr>
          <w:i/>
          <w:sz w:val="24"/>
        </w:rPr>
        <w:t>pricing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guidelines</w:t>
      </w:r>
      <w:proofErr w:type="spellEnd"/>
      <w:r>
        <w:rPr>
          <w:i/>
          <w:sz w:val="24"/>
        </w:rPr>
        <w:t xml:space="preserve"> for </w:t>
      </w:r>
      <w:proofErr w:type="spellStart"/>
      <w:r>
        <w:rPr>
          <w:i/>
          <w:sz w:val="24"/>
        </w:rPr>
        <w:t>multinational</w:t>
      </w:r>
      <w:proofErr w:type="spellEnd"/>
      <w:r>
        <w:rPr>
          <w:i/>
          <w:sz w:val="24"/>
        </w:rPr>
        <w:t xml:space="preserve"> enterprises and </w:t>
      </w:r>
      <w:proofErr w:type="spellStart"/>
      <w:r>
        <w:rPr>
          <w:i/>
          <w:sz w:val="24"/>
        </w:rPr>
        <w:t>tax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administrations</w:t>
      </w:r>
      <w:proofErr w:type="spellEnd"/>
      <w:r>
        <w:rPr>
          <w:i/>
          <w:sz w:val="24"/>
        </w:rPr>
        <w:t xml:space="preserve">. Report of </w:t>
      </w:r>
      <w:proofErr w:type="spellStart"/>
      <w:r>
        <w:rPr>
          <w:i/>
          <w:sz w:val="24"/>
        </w:rPr>
        <w:t>July</w:t>
      </w:r>
      <w:proofErr w:type="spellEnd"/>
      <w:r>
        <w:rPr>
          <w:i/>
          <w:sz w:val="24"/>
        </w:rPr>
        <w:t xml:space="preserve"> 1995 with </w:t>
      </w:r>
      <w:proofErr w:type="spellStart"/>
      <w:r>
        <w:rPr>
          <w:i/>
          <w:sz w:val="24"/>
        </w:rPr>
        <w:t>supplements</w:t>
      </w:r>
      <w:proofErr w:type="spellEnd"/>
      <w:r>
        <w:rPr>
          <w:sz w:val="24"/>
        </w:rPr>
        <w:t>. Paris.</w:t>
      </w:r>
    </w:p>
    <w:p w:rsidR="00FD79C6" w:rsidRDefault="00BF73AA">
      <w:pPr>
        <w:spacing w:line="360" w:lineRule="auto"/>
        <w:ind w:left="456" w:right="858" w:hanging="284"/>
        <w:rPr>
          <w:sz w:val="24"/>
        </w:rPr>
      </w:pPr>
      <w:proofErr w:type="spellStart"/>
      <w:r>
        <w:rPr>
          <w:sz w:val="24"/>
        </w:rPr>
        <w:t>Słojak</w:t>
      </w:r>
      <w:proofErr w:type="spellEnd"/>
      <w:r>
        <w:rPr>
          <w:sz w:val="24"/>
        </w:rPr>
        <w:t xml:space="preserve">, S. (2002). </w:t>
      </w:r>
      <w:r>
        <w:rPr>
          <w:i/>
          <w:sz w:val="24"/>
        </w:rPr>
        <w:t>Ceny transferowe. Teoria i praktyka</w:t>
      </w:r>
      <w:r>
        <w:rPr>
          <w:sz w:val="24"/>
        </w:rPr>
        <w:t>. Warszawa: Wydawnictwo Naukowe PWN.</w:t>
      </w:r>
    </w:p>
    <w:p w:rsidR="00FD79C6" w:rsidRDefault="00BF73AA">
      <w:pPr>
        <w:pStyle w:val="Tekstpodstawowy"/>
        <w:spacing w:line="360" w:lineRule="auto"/>
        <w:ind w:left="456" w:right="465" w:hanging="284"/>
      </w:pPr>
      <w:r>
        <w:t xml:space="preserve">Ustawa z dnia  15  lutego  1992 r.  o  podatku  dochodowym  od  osób  prawnych  (Dz. U.  z 2000 r. Nr 54, poz. 654 z </w:t>
      </w:r>
      <w:proofErr w:type="spellStart"/>
      <w:r>
        <w:t>późn</w:t>
      </w:r>
      <w:proofErr w:type="spellEnd"/>
      <w:r>
        <w:t>.</w:t>
      </w:r>
      <w:r>
        <w:rPr>
          <w:spacing w:val="-3"/>
        </w:rPr>
        <w:t xml:space="preserve"> </w:t>
      </w:r>
      <w:r>
        <w:t>zm.)</w:t>
      </w:r>
      <w:bookmarkStart w:id="0" w:name="_GoBack"/>
      <w:bookmarkEnd w:id="0"/>
    </w:p>
    <w:p w:rsidR="00FD79C6" w:rsidRDefault="00BF73AA">
      <w:pPr>
        <w:spacing w:line="360" w:lineRule="auto"/>
        <w:ind w:left="172" w:right="1066"/>
        <w:rPr>
          <w:sz w:val="24"/>
        </w:rPr>
      </w:pPr>
      <w:r>
        <w:rPr>
          <w:sz w:val="24"/>
        </w:rPr>
        <w:t xml:space="preserve">Zorska, A. (1998). </w:t>
      </w:r>
      <w:r>
        <w:rPr>
          <w:i/>
          <w:sz w:val="24"/>
        </w:rPr>
        <w:t>Ku globalizacji</w:t>
      </w:r>
      <w:r>
        <w:rPr>
          <w:sz w:val="24"/>
        </w:rPr>
        <w:t xml:space="preserve">. Warszawa: Wydawnictwo Naukowe PWN. Zorska, A. (red.). (2002). </w:t>
      </w:r>
      <w:r>
        <w:rPr>
          <w:i/>
          <w:sz w:val="24"/>
        </w:rPr>
        <w:t xml:space="preserve">Korporacje międzynarodowe w Polsce. </w:t>
      </w:r>
      <w:r>
        <w:rPr>
          <w:sz w:val="24"/>
        </w:rPr>
        <w:t xml:space="preserve">Warszawa: </w:t>
      </w:r>
      <w:proofErr w:type="spellStart"/>
      <w:r>
        <w:rPr>
          <w:sz w:val="24"/>
        </w:rPr>
        <w:t>Difin</w:t>
      </w:r>
      <w:proofErr w:type="spellEnd"/>
      <w:r>
        <w:rPr>
          <w:sz w:val="24"/>
        </w:rPr>
        <w:t>.</w:t>
      </w:r>
    </w:p>
    <w:sectPr w:rsidR="00FD79C6">
      <w:pgSz w:w="11910" w:h="16840"/>
      <w:pgMar w:top="1580" w:right="1680" w:bottom="960" w:left="960" w:header="0" w:footer="7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33A" w:rsidRDefault="00BF73AA">
      <w:r>
        <w:separator/>
      </w:r>
    </w:p>
  </w:endnote>
  <w:endnote w:type="continuationSeparator" w:id="0">
    <w:p w:rsidR="00E5433A" w:rsidRDefault="00BF7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9C6" w:rsidRDefault="00B374E1">
    <w:pPr>
      <w:pStyle w:val="Tekstpodstawowy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8.2pt;margin-top:792.05pt;width:10pt;height:15.3pt;z-index:-251658752;mso-position-horizontal-relative:page;mso-position-vertical-relative:page" filled="f" stroked="f">
          <v:textbox inset="0,0,0,0">
            <w:txbxContent>
              <w:p w:rsidR="00FD79C6" w:rsidRDefault="00BF73AA">
                <w:pPr>
                  <w:pStyle w:val="Tekstpodstawowy"/>
                  <w:spacing w:before="1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33A" w:rsidRDefault="00BF73AA">
      <w:r>
        <w:separator/>
      </w:r>
    </w:p>
  </w:footnote>
  <w:footnote w:type="continuationSeparator" w:id="0">
    <w:p w:rsidR="00E5433A" w:rsidRDefault="00BF7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16C34"/>
    <w:multiLevelType w:val="hybridMultilevel"/>
    <w:tmpl w:val="CEB211A4"/>
    <w:lvl w:ilvl="0" w:tplc="13C26BE0">
      <w:start w:val="7"/>
      <w:numFmt w:val="decimal"/>
      <w:lvlText w:val="%1"/>
      <w:lvlJc w:val="left"/>
      <w:pPr>
        <w:ind w:left="324" w:hanging="15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1" w:tplc="CB0E5F5C">
      <w:numFmt w:val="bullet"/>
      <w:lvlText w:val="•"/>
      <w:lvlJc w:val="left"/>
      <w:pPr>
        <w:ind w:left="1214" w:hanging="152"/>
      </w:pPr>
      <w:rPr>
        <w:rFonts w:hint="default"/>
        <w:lang w:val="pl-PL" w:eastAsia="pl-PL" w:bidi="pl-PL"/>
      </w:rPr>
    </w:lvl>
    <w:lvl w:ilvl="2" w:tplc="C00646C2">
      <w:numFmt w:val="bullet"/>
      <w:lvlText w:val="•"/>
      <w:lvlJc w:val="left"/>
      <w:pPr>
        <w:ind w:left="2109" w:hanging="152"/>
      </w:pPr>
      <w:rPr>
        <w:rFonts w:hint="default"/>
        <w:lang w:val="pl-PL" w:eastAsia="pl-PL" w:bidi="pl-PL"/>
      </w:rPr>
    </w:lvl>
    <w:lvl w:ilvl="3" w:tplc="07B4C9A8">
      <w:numFmt w:val="bullet"/>
      <w:lvlText w:val="•"/>
      <w:lvlJc w:val="left"/>
      <w:pPr>
        <w:ind w:left="3003" w:hanging="152"/>
      </w:pPr>
      <w:rPr>
        <w:rFonts w:hint="default"/>
        <w:lang w:val="pl-PL" w:eastAsia="pl-PL" w:bidi="pl-PL"/>
      </w:rPr>
    </w:lvl>
    <w:lvl w:ilvl="4" w:tplc="C13813A6">
      <w:numFmt w:val="bullet"/>
      <w:lvlText w:val="•"/>
      <w:lvlJc w:val="left"/>
      <w:pPr>
        <w:ind w:left="3898" w:hanging="152"/>
      </w:pPr>
      <w:rPr>
        <w:rFonts w:hint="default"/>
        <w:lang w:val="pl-PL" w:eastAsia="pl-PL" w:bidi="pl-PL"/>
      </w:rPr>
    </w:lvl>
    <w:lvl w:ilvl="5" w:tplc="1B42FBD6">
      <w:numFmt w:val="bullet"/>
      <w:lvlText w:val="•"/>
      <w:lvlJc w:val="left"/>
      <w:pPr>
        <w:ind w:left="4793" w:hanging="152"/>
      </w:pPr>
      <w:rPr>
        <w:rFonts w:hint="default"/>
        <w:lang w:val="pl-PL" w:eastAsia="pl-PL" w:bidi="pl-PL"/>
      </w:rPr>
    </w:lvl>
    <w:lvl w:ilvl="6" w:tplc="D9A07A48">
      <w:numFmt w:val="bullet"/>
      <w:lvlText w:val="•"/>
      <w:lvlJc w:val="left"/>
      <w:pPr>
        <w:ind w:left="5687" w:hanging="152"/>
      </w:pPr>
      <w:rPr>
        <w:rFonts w:hint="default"/>
        <w:lang w:val="pl-PL" w:eastAsia="pl-PL" w:bidi="pl-PL"/>
      </w:rPr>
    </w:lvl>
    <w:lvl w:ilvl="7" w:tplc="BB5687CE">
      <w:numFmt w:val="bullet"/>
      <w:lvlText w:val="•"/>
      <w:lvlJc w:val="left"/>
      <w:pPr>
        <w:ind w:left="6582" w:hanging="152"/>
      </w:pPr>
      <w:rPr>
        <w:rFonts w:hint="default"/>
        <w:lang w:val="pl-PL" w:eastAsia="pl-PL" w:bidi="pl-PL"/>
      </w:rPr>
    </w:lvl>
    <w:lvl w:ilvl="8" w:tplc="4E9E8BE6">
      <w:numFmt w:val="bullet"/>
      <w:lvlText w:val="•"/>
      <w:lvlJc w:val="left"/>
      <w:pPr>
        <w:ind w:left="7477" w:hanging="152"/>
      </w:pPr>
      <w:rPr>
        <w:rFonts w:hint="default"/>
        <w:lang w:val="pl-PL" w:eastAsia="pl-PL" w:bidi="pl-PL"/>
      </w:rPr>
    </w:lvl>
  </w:abstractNum>
  <w:abstractNum w:abstractNumId="1" w15:restartNumberingAfterBreak="0">
    <w:nsid w:val="43DD44C0"/>
    <w:multiLevelType w:val="hybridMultilevel"/>
    <w:tmpl w:val="8F6A81EE"/>
    <w:lvl w:ilvl="0" w:tplc="E63A04F0">
      <w:start w:val="1"/>
      <w:numFmt w:val="decimal"/>
      <w:lvlText w:val="%1"/>
      <w:lvlJc w:val="left"/>
      <w:pPr>
        <w:ind w:left="324" w:hanging="15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1" w:tplc="A6E63C96">
      <w:numFmt w:val="bullet"/>
      <w:lvlText w:val="•"/>
      <w:lvlJc w:val="left"/>
      <w:pPr>
        <w:ind w:left="1214" w:hanging="152"/>
      </w:pPr>
      <w:rPr>
        <w:rFonts w:hint="default"/>
        <w:lang w:val="pl-PL" w:eastAsia="pl-PL" w:bidi="pl-PL"/>
      </w:rPr>
    </w:lvl>
    <w:lvl w:ilvl="2" w:tplc="C0AE59C8">
      <w:numFmt w:val="bullet"/>
      <w:lvlText w:val="•"/>
      <w:lvlJc w:val="left"/>
      <w:pPr>
        <w:ind w:left="2109" w:hanging="152"/>
      </w:pPr>
      <w:rPr>
        <w:rFonts w:hint="default"/>
        <w:lang w:val="pl-PL" w:eastAsia="pl-PL" w:bidi="pl-PL"/>
      </w:rPr>
    </w:lvl>
    <w:lvl w:ilvl="3" w:tplc="DA521E5A">
      <w:numFmt w:val="bullet"/>
      <w:lvlText w:val="•"/>
      <w:lvlJc w:val="left"/>
      <w:pPr>
        <w:ind w:left="3003" w:hanging="152"/>
      </w:pPr>
      <w:rPr>
        <w:rFonts w:hint="default"/>
        <w:lang w:val="pl-PL" w:eastAsia="pl-PL" w:bidi="pl-PL"/>
      </w:rPr>
    </w:lvl>
    <w:lvl w:ilvl="4" w:tplc="AD7E5CA0">
      <w:numFmt w:val="bullet"/>
      <w:lvlText w:val="•"/>
      <w:lvlJc w:val="left"/>
      <w:pPr>
        <w:ind w:left="3898" w:hanging="152"/>
      </w:pPr>
      <w:rPr>
        <w:rFonts w:hint="default"/>
        <w:lang w:val="pl-PL" w:eastAsia="pl-PL" w:bidi="pl-PL"/>
      </w:rPr>
    </w:lvl>
    <w:lvl w:ilvl="5" w:tplc="D7DA802C">
      <w:numFmt w:val="bullet"/>
      <w:lvlText w:val="•"/>
      <w:lvlJc w:val="left"/>
      <w:pPr>
        <w:ind w:left="4793" w:hanging="152"/>
      </w:pPr>
      <w:rPr>
        <w:rFonts w:hint="default"/>
        <w:lang w:val="pl-PL" w:eastAsia="pl-PL" w:bidi="pl-PL"/>
      </w:rPr>
    </w:lvl>
    <w:lvl w:ilvl="6" w:tplc="B5A40608">
      <w:numFmt w:val="bullet"/>
      <w:lvlText w:val="•"/>
      <w:lvlJc w:val="left"/>
      <w:pPr>
        <w:ind w:left="5687" w:hanging="152"/>
      </w:pPr>
      <w:rPr>
        <w:rFonts w:hint="default"/>
        <w:lang w:val="pl-PL" w:eastAsia="pl-PL" w:bidi="pl-PL"/>
      </w:rPr>
    </w:lvl>
    <w:lvl w:ilvl="7" w:tplc="D214D90A">
      <w:numFmt w:val="bullet"/>
      <w:lvlText w:val="•"/>
      <w:lvlJc w:val="left"/>
      <w:pPr>
        <w:ind w:left="6582" w:hanging="152"/>
      </w:pPr>
      <w:rPr>
        <w:rFonts w:hint="default"/>
        <w:lang w:val="pl-PL" w:eastAsia="pl-PL" w:bidi="pl-PL"/>
      </w:rPr>
    </w:lvl>
    <w:lvl w:ilvl="8" w:tplc="DEBC6584">
      <w:numFmt w:val="bullet"/>
      <w:lvlText w:val="•"/>
      <w:lvlJc w:val="left"/>
      <w:pPr>
        <w:ind w:left="7477" w:hanging="152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79C6"/>
    <w:rsid w:val="00B374E1"/>
    <w:rsid w:val="00BF73AA"/>
    <w:rsid w:val="00E5433A"/>
    <w:rsid w:val="00FD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D5B6E55"/>
  <w15:docId w15:val="{51AF71DF-8567-4A7D-8C4E-0F5C9DB0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spacing w:before="89"/>
      <w:ind w:left="172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324" w:hanging="152"/>
    </w:pPr>
  </w:style>
  <w:style w:type="paragraph" w:customStyle="1" w:styleId="TableParagraph">
    <w:name w:val="Table Paragraph"/>
    <w:basedOn w:val="Normalny"/>
    <w:uiPriority w:val="1"/>
    <w:qFormat/>
    <w:pPr>
      <w:spacing w:before="35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1317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Grześ</cp:lastModifiedBy>
  <cp:revision>3</cp:revision>
  <dcterms:created xsi:type="dcterms:W3CDTF">2020-10-14T11:50:00Z</dcterms:created>
  <dcterms:modified xsi:type="dcterms:W3CDTF">2020-10-14T12:09:00Z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2017-11-15T00:00:00Z</vt:filetime>
  </property>
  <property fmtid="{D5CDD505-2E9C-101B-9397-08002B2CF9AE}" pid="3" name="LastSaved">
    <vt:filetime>2020-10-14T00:00:00Z</vt:filetime>
  </property>
</Properties>
</file>